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4F06" w14:paraId="1565B49A" w14:textId="77777777" w:rsidTr="00094F06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471DDA3F" w:rsidR="00094F06" w:rsidRPr="0036197D" w:rsidRDefault="00094F06" w:rsidP="00094F0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Stanovení povinností na úseku BOZP</w:t>
            </w:r>
          </w:p>
        </w:tc>
      </w:tr>
      <w:tr w:rsidR="00094F06" w14:paraId="2A915114" w14:textId="77777777" w:rsidTr="00094F06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0A5CA7" w14:textId="25EE9A7C" w:rsidR="00094F06" w:rsidRPr="0036197D" w:rsidRDefault="00094F06" w:rsidP="00094F0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Ve vztahu k externím pracovníkům</w:t>
            </w:r>
          </w:p>
        </w:tc>
      </w:tr>
      <w:tr w:rsidR="002709CD" w14:paraId="360C0D03" w14:textId="77777777" w:rsidTr="00094F06">
        <w:trPr>
          <w:trHeight w:val="11907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Pr="00094F06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94F06">
                    <w:rPr>
                      <w:color w:val="808080" w:themeColor="background1" w:themeShade="80"/>
                    </w:rP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Pr="00094F06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A0A26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AA0A26" w:rsidRPr="00094F06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94F06">
                    <w:rPr>
                      <w:color w:val="808080" w:themeColor="background1" w:themeShade="80"/>
                    </w:rP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3D34A43B" w:rsidR="00AA0A26" w:rsidRPr="00061151" w:rsidRDefault="00061151" w:rsidP="00061151">
                  <w:r w:rsidRPr="00061151">
                    <w:t>Tímto dokumentem se stanoví podmínky pro zajištění bezpečnosti a ochrany zdraví při práci a požární ochrany ve vztahu k zaměstnancům jiných zaměstnavatelů, kteří své pracovní činnosti vykonávají na pracovištích společnosti - tzv. externích zaměstnanců</w:t>
                  </w:r>
                  <w:r>
                    <w:t>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Pr="00094F06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Pr="00094F06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94F06">
                    <w:rPr>
                      <w:color w:val="808080" w:themeColor="background1" w:themeShade="80"/>
                    </w:rP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36749DFC" w14:textId="3C130393" w:rsidR="002709CD" w:rsidRDefault="00061151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>odst. (3), (4), § 101; písm. g), odst. (1), § 103, zákona č. 262/2006 Sb., úz.</w:t>
                  </w:r>
                </w:p>
                <w:p w14:paraId="685539B2" w14:textId="0580F847" w:rsidR="005D1C82" w:rsidRDefault="00061151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§ 16, </w:t>
                  </w:r>
                  <w:r w:rsidR="005D1C82">
                    <w:t>zákona č. 133/1985 Sb., úz.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Pr="00094F06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Pr="00094F06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94F06">
                    <w:rPr>
                      <w:color w:val="808080" w:themeColor="background1" w:themeShade="80"/>
                    </w:rP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2016E774" w:rsidR="00AA0A26" w:rsidRDefault="00AA0A26" w:rsidP="00273E82">
                  <w:r w:rsidRPr="009D025B">
                    <w:t>Zaměstnavatel, vedoucí zaměstnanci</w:t>
                  </w:r>
                  <w:r w:rsidR="00015B3F">
                    <w:t xml:space="preserve">, </w:t>
                  </w:r>
                  <w:r w:rsidR="00273E82">
                    <w:t>externí zaměstnanci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Pr="00094F06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Pr="00094F06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94F06">
                    <w:rPr>
                      <w:color w:val="808080" w:themeColor="background1" w:themeShade="80"/>
                    </w:rP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634855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634855" w:rsidRPr="00094F06" w:rsidRDefault="00634855" w:rsidP="00634855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4835E02" w14:textId="77777777" w:rsidR="00634855" w:rsidRDefault="00634855" w:rsidP="00634855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3EBA1CE9" w14:textId="77777777" w:rsidR="00634855" w:rsidRPr="001B61B8" w:rsidRDefault="00634855" w:rsidP="00634855">
                  <w:r>
                    <w:t>Ulice + ČP</w:t>
                  </w:r>
                </w:p>
                <w:p w14:paraId="04F3FA9A" w14:textId="77777777" w:rsidR="00634855" w:rsidRPr="001B61B8" w:rsidRDefault="00634855" w:rsidP="00634855">
                  <w:r>
                    <w:t>PSČ + Obec</w:t>
                  </w:r>
                </w:p>
                <w:p w14:paraId="7FFE3434" w14:textId="1EE1A543" w:rsidR="00634855" w:rsidRPr="001B61B8" w:rsidRDefault="00634855" w:rsidP="00634855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07A1EAF7" w14:textId="737E1791" w:rsidR="00634855" w:rsidRPr="002222E0" w:rsidRDefault="00634855" w:rsidP="00634855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  <w:p w14:paraId="3BFFE408" w14:textId="203D69E5" w:rsidR="00634855" w:rsidRPr="002222E0" w:rsidRDefault="00634855" w:rsidP="00634855">
                  <w:pPr>
                    <w:rPr>
                      <w:b/>
                    </w:rPr>
                  </w:pPr>
                </w:p>
              </w:tc>
            </w:tr>
            <w:tr w:rsidR="001B61B8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1B61B8" w:rsidRPr="00094F06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1B61B8" w:rsidRDefault="001B61B8" w:rsidP="001B61B8"/>
              </w:tc>
            </w:tr>
            <w:tr w:rsidR="001B61B8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1B61B8" w:rsidRPr="00094F06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1B61B8" w:rsidRPr="002709CD" w:rsidRDefault="001B61B8" w:rsidP="001B61B8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1B61B8" w:rsidRPr="002709CD" w:rsidRDefault="001B61B8" w:rsidP="001B61B8">
                  <w:r w:rsidRPr="002709CD">
                    <w:t>Datum a podpis</w:t>
                  </w:r>
                </w:p>
              </w:tc>
            </w:tr>
            <w:tr w:rsidR="001B61B8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1B61B8" w:rsidRPr="00094F06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94F06">
                    <w:rPr>
                      <w:color w:val="808080" w:themeColor="background1" w:themeShade="80"/>
                    </w:rP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2604A31F" w:rsidR="001B61B8" w:rsidRPr="0036197D" w:rsidRDefault="001B61B8" w:rsidP="001B61B8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1B61B8" w:rsidRDefault="001B61B8" w:rsidP="001B61B8"/>
              </w:tc>
            </w:tr>
            <w:tr w:rsidR="001B61B8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1B61B8" w:rsidRPr="00094F06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94F06">
                    <w:rPr>
                      <w:color w:val="808080" w:themeColor="background1" w:themeShade="80"/>
                    </w:rP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1B61B8" w:rsidRDefault="001B61B8" w:rsidP="001B61B8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1B61B8" w:rsidRDefault="001B61B8" w:rsidP="001B61B8"/>
              </w:tc>
            </w:tr>
            <w:tr w:rsidR="001B61B8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1B61B8" w:rsidRPr="00094F06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094F06">
                    <w:rPr>
                      <w:color w:val="808080" w:themeColor="background1" w:themeShade="80"/>
                    </w:rP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1B61B8" w:rsidRPr="001B61B8" w:rsidRDefault="001B61B8" w:rsidP="001B61B8">
                  <w:pPr>
                    <w:rPr>
                      <w:b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1B61B8" w:rsidRDefault="001B61B8" w:rsidP="001B61B8"/>
              </w:tc>
            </w:tr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564961CE" w14:textId="3AE3D479" w:rsidR="00094F06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447669" w:history="1">
            <w:r w:rsidR="00094F06" w:rsidRPr="00AB6920">
              <w:rPr>
                <w:rStyle w:val="Hypertextovodkaz"/>
                <w:noProof/>
              </w:rPr>
              <w:t>1</w:t>
            </w:r>
            <w:r w:rsidR="00094F06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094F06" w:rsidRPr="00AB6920">
              <w:rPr>
                <w:rStyle w:val="Hypertextovodkaz"/>
                <w:noProof/>
              </w:rPr>
              <w:t>Povinnosti ve vztahu k externím pracovníkům</w:t>
            </w:r>
            <w:r w:rsidR="00094F06">
              <w:rPr>
                <w:noProof/>
                <w:webHidden/>
              </w:rPr>
              <w:tab/>
            </w:r>
            <w:r w:rsidR="00094F06">
              <w:rPr>
                <w:noProof/>
                <w:webHidden/>
              </w:rPr>
              <w:fldChar w:fldCharType="begin"/>
            </w:r>
            <w:r w:rsidR="00094F06">
              <w:rPr>
                <w:noProof/>
                <w:webHidden/>
              </w:rPr>
              <w:instrText xml:space="preserve"> PAGEREF _Toc482447669 \h </w:instrText>
            </w:r>
            <w:r w:rsidR="00094F06">
              <w:rPr>
                <w:noProof/>
                <w:webHidden/>
              </w:rPr>
            </w:r>
            <w:r w:rsidR="00094F06">
              <w:rPr>
                <w:noProof/>
                <w:webHidden/>
              </w:rPr>
              <w:fldChar w:fldCharType="separate"/>
            </w:r>
            <w:r w:rsidR="00094F06">
              <w:rPr>
                <w:noProof/>
                <w:webHidden/>
              </w:rPr>
              <w:t>3</w:t>
            </w:r>
            <w:r w:rsidR="00094F06">
              <w:rPr>
                <w:noProof/>
                <w:webHidden/>
              </w:rPr>
              <w:fldChar w:fldCharType="end"/>
            </w:r>
          </w:hyperlink>
        </w:p>
        <w:p w14:paraId="5839F573" w14:textId="0CA543F8" w:rsidR="00094F06" w:rsidRDefault="00C97F7E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82447670" w:history="1">
            <w:r w:rsidR="00094F06" w:rsidRPr="00AB6920">
              <w:rPr>
                <w:rStyle w:val="Hypertextovodkaz"/>
                <w:noProof/>
              </w:rPr>
              <w:t>1.1</w:t>
            </w:r>
            <w:r w:rsidR="00094F06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094F06" w:rsidRPr="00AB6920">
              <w:rPr>
                <w:rStyle w:val="Hypertextovodkaz"/>
                <w:noProof/>
              </w:rPr>
              <w:t>Informování o rizicích a o přijatých opatřeních proti jejich působení</w:t>
            </w:r>
            <w:r w:rsidR="00094F06">
              <w:rPr>
                <w:noProof/>
                <w:webHidden/>
              </w:rPr>
              <w:tab/>
            </w:r>
            <w:r w:rsidR="00094F06">
              <w:rPr>
                <w:noProof/>
                <w:webHidden/>
              </w:rPr>
              <w:fldChar w:fldCharType="begin"/>
            </w:r>
            <w:r w:rsidR="00094F06">
              <w:rPr>
                <w:noProof/>
                <w:webHidden/>
              </w:rPr>
              <w:instrText xml:space="preserve"> PAGEREF _Toc482447670 \h </w:instrText>
            </w:r>
            <w:r w:rsidR="00094F06">
              <w:rPr>
                <w:noProof/>
                <w:webHidden/>
              </w:rPr>
            </w:r>
            <w:r w:rsidR="00094F06">
              <w:rPr>
                <w:noProof/>
                <w:webHidden/>
              </w:rPr>
              <w:fldChar w:fldCharType="separate"/>
            </w:r>
            <w:r w:rsidR="00094F06">
              <w:rPr>
                <w:noProof/>
                <w:webHidden/>
              </w:rPr>
              <w:t>4</w:t>
            </w:r>
            <w:r w:rsidR="00094F06">
              <w:rPr>
                <w:noProof/>
                <w:webHidden/>
              </w:rPr>
              <w:fldChar w:fldCharType="end"/>
            </w:r>
          </w:hyperlink>
        </w:p>
        <w:p w14:paraId="428A1FE8" w14:textId="632A824F" w:rsidR="00094F06" w:rsidRDefault="00C97F7E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82447671" w:history="1">
            <w:r w:rsidR="00094F06" w:rsidRPr="00AB6920">
              <w:rPr>
                <w:rStyle w:val="Hypertextovodkaz"/>
                <w:noProof/>
              </w:rPr>
              <w:t>1.2</w:t>
            </w:r>
            <w:r w:rsidR="00094F06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094F06" w:rsidRPr="00AB6920">
              <w:rPr>
                <w:rStyle w:val="Hypertextovodkaz"/>
                <w:noProof/>
              </w:rPr>
              <w:t>Předání pracoviště - protokol o předání / převzetí</w:t>
            </w:r>
            <w:r w:rsidR="00094F06">
              <w:rPr>
                <w:noProof/>
                <w:webHidden/>
              </w:rPr>
              <w:tab/>
            </w:r>
            <w:r w:rsidR="00094F06">
              <w:rPr>
                <w:noProof/>
                <w:webHidden/>
              </w:rPr>
              <w:fldChar w:fldCharType="begin"/>
            </w:r>
            <w:r w:rsidR="00094F06">
              <w:rPr>
                <w:noProof/>
                <w:webHidden/>
              </w:rPr>
              <w:instrText xml:space="preserve"> PAGEREF _Toc482447671 \h </w:instrText>
            </w:r>
            <w:r w:rsidR="00094F06">
              <w:rPr>
                <w:noProof/>
                <w:webHidden/>
              </w:rPr>
            </w:r>
            <w:r w:rsidR="00094F06">
              <w:rPr>
                <w:noProof/>
                <w:webHidden/>
              </w:rPr>
              <w:fldChar w:fldCharType="separate"/>
            </w:r>
            <w:r w:rsidR="00094F06">
              <w:rPr>
                <w:noProof/>
                <w:webHidden/>
              </w:rPr>
              <w:t>5</w:t>
            </w:r>
            <w:r w:rsidR="00094F06">
              <w:rPr>
                <w:noProof/>
                <w:webHidden/>
              </w:rPr>
              <w:fldChar w:fldCharType="end"/>
            </w:r>
          </w:hyperlink>
        </w:p>
        <w:p w14:paraId="47F6ED09" w14:textId="6834E71B" w:rsidR="00094F06" w:rsidRDefault="00C97F7E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82447672" w:history="1">
            <w:r w:rsidR="00094F06" w:rsidRPr="00AB6920">
              <w:rPr>
                <w:rStyle w:val="Hypertextovodkaz"/>
                <w:noProof/>
              </w:rPr>
              <w:t>1.3</w:t>
            </w:r>
            <w:r w:rsidR="00094F06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094F06" w:rsidRPr="00AB6920">
              <w:rPr>
                <w:rStyle w:val="Hypertextovodkaz"/>
                <w:noProof/>
              </w:rPr>
              <w:t>Další povinnosti na úseku požární ochrany</w:t>
            </w:r>
            <w:r w:rsidR="00094F06">
              <w:rPr>
                <w:noProof/>
                <w:webHidden/>
              </w:rPr>
              <w:tab/>
            </w:r>
            <w:r w:rsidR="00094F06">
              <w:rPr>
                <w:noProof/>
                <w:webHidden/>
              </w:rPr>
              <w:fldChar w:fldCharType="begin"/>
            </w:r>
            <w:r w:rsidR="00094F06">
              <w:rPr>
                <w:noProof/>
                <w:webHidden/>
              </w:rPr>
              <w:instrText xml:space="preserve"> PAGEREF _Toc482447672 \h </w:instrText>
            </w:r>
            <w:r w:rsidR="00094F06">
              <w:rPr>
                <w:noProof/>
                <w:webHidden/>
              </w:rPr>
            </w:r>
            <w:r w:rsidR="00094F06">
              <w:rPr>
                <w:noProof/>
                <w:webHidden/>
              </w:rPr>
              <w:fldChar w:fldCharType="separate"/>
            </w:r>
            <w:r w:rsidR="00094F06">
              <w:rPr>
                <w:noProof/>
                <w:webHidden/>
              </w:rPr>
              <w:t>6</w:t>
            </w:r>
            <w:r w:rsidR="00094F06">
              <w:rPr>
                <w:noProof/>
                <w:webHidden/>
              </w:rPr>
              <w:fldChar w:fldCharType="end"/>
            </w:r>
          </w:hyperlink>
        </w:p>
        <w:p w14:paraId="66F03F5E" w14:textId="1C9A173B" w:rsidR="00094F06" w:rsidRDefault="00C97F7E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82447673" w:history="1">
            <w:r w:rsidR="00094F06" w:rsidRPr="00AB6920">
              <w:rPr>
                <w:rStyle w:val="Hypertextovodkaz"/>
                <w:noProof/>
              </w:rPr>
              <w:t>1.4</w:t>
            </w:r>
            <w:r w:rsidR="00094F06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094F06" w:rsidRPr="00AB6920">
              <w:rPr>
                <w:rStyle w:val="Hypertextovodkaz"/>
                <w:noProof/>
              </w:rPr>
              <w:t>Povinnosti ve vztahu k používaným strojům, technickým zařízením, přístrojům a nářadí</w:t>
            </w:r>
            <w:r w:rsidR="00094F06">
              <w:rPr>
                <w:noProof/>
                <w:webHidden/>
              </w:rPr>
              <w:tab/>
            </w:r>
            <w:r w:rsidR="00094F06">
              <w:rPr>
                <w:noProof/>
                <w:webHidden/>
              </w:rPr>
              <w:fldChar w:fldCharType="begin"/>
            </w:r>
            <w:r w:rsidR="00094F06">
              <w:rPr>
                <w:noProof/>
                <w:webHidden/>
              </w:rPr>
              <w:instrText xml:space="preserve"> PAGEREF _Toc482447673 \h </w:instrText>
            </w:r>
            <w:r w:rsidR="00094F06">
              <w:rPr>
                <w:noProof/>
                <w:webHidden/>
              </w:rPr>
            </w:r>
            <w:r w:rsidR="00094F06">
              <w:rPr>
                <w:noProof/>
                <w:webHidden/>
              </w:rPr>
              <w:fldChar w:fldCharType="separate"/>
            </w:r>
            <w:r w:rsidR="00094F06">
              <w:rPr>
                <w:noProof/>
                <w:webHidden/>
              </w:rPr>
              <w:t>6</w:t>
            </w:r>
            <w:r w:rsidR="00094F06">
              <w:rPr>
                <w:noProof/>
                <w:webHidden/>
              </w:rPr>
              <w:fldChar w:fldCharType="end"/>
            </w:r>
          </w:hyperlink>
        </w:p>
        <w:p w14:paraId="520F9C1F" w14:textId="16C31D57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3402B51A" w14:textId="6B04892B" w:rsidR="000D0197" w:rsidRPr="000D0197" w:rsidRDefault="00AF1B2B" w:rsidP="000D0197">
      <w:pPr>
        <w:pStyle w:val="Nadpis1"/>
      </w:pPr>
      <w:bookmarkStart w:id="1" w:name="_Toc482447669"/>
      <w:r>
        <w:lastRenderedPageBreak/>
        <w:t>Povinnosti ve vztahu k externím pracovníkům</w:t>
      </w:r>
      <w:bookmarkEnd w:id="1"/>
    </w:p>
    <w:p w14:paraId="170BAE82" w14:textId="77777777" w:rsidR="00061151" w:rsidRDefault="00061151" w:rsidP="00521AC0">
      <w:pPr>
        <w:pStyle w:val="Odstavecseseznamem"/>
        <w:numPr>
          <w:ilvl w:val="0"/>
          <w:numId w:val="30"/>
        </w:numPr>
      </w:pPr>
      <w:r w:rsidRPr="00061151">
        <w:t>Zaměstnavatel externích pracovníků, tj. osob vykonávajících pracovní úkoly pro společnost, kteří k ní nejsou v pracovněprávním nebo obdobném vztahu, nebo přímo osoba samostatně výdělečně činná, dále jen “subdodavatel”, mají zejména následující povinnosti:</w:t>
      </w:r>
    </w:p>
    <w:p w14:paraId="189DD3B8" w14:textId="77777777" w:rsidR="00061151" w:rsidRDefault="00061151" w:rsidP="00DB5AC7">
      <w:pPr>
        <w:pStyle w:val="Odstavecseseznamem"/>
        <w:numPr>
          <w:ilvl w:val="1"/>
          <w:numId w:val="30"/>
        </w:numPr>
      </w:pPr>
      <w:r w:rsidRPr="00061151">
        <w:t xml:space="preserve">s co možná největším předstihem před zahájením svých pracovních činností pro společnost, odpovědného vedoucího zaměstnance pracoviště, na němž budou činnosti provádět, informovat ve smyslu </w:t>
      </w:r>
      <w:hyperlink r:id="rId8" w:anchor="local-content" w:history="1">
        <w:r w:rsidRPr="00061151">
          <w:rPr>
            <w:rStyle w:val="Hypertextovodkaz"/>
          </w:rPr>
          <w:t>Zákoníku práce</w:t>
        </w:r>
      </w:hyperlink>
      <w:r w:rsidRPr="00061151">
        <w:t xml:space="preserve"> o rizicích a o přijatých opatřeních k ochraně před jejich působením, která se týkají výkonu práce a pracoviště; tyto informace poskytuje “subdodavatel” vždy v písemné formě; blíže viz kapitola 1.1;</w:t>
      </w:r>
    </w:p>
    <w:p w14:paraId="0608507A" w14:textId="77777777" w:rsidR="00061151" w:rsidRDefault="00061151" w:rsidP="007E12C1">
      <w:pPr>
        <w:pStyle w:val="Odstavecseseznamem"/>
        <w:numPr>
          <w:ilvl w:val="1"/>
          <w:numId w:val="30"/>
        </w:numPr>
      </w:pPr>
      <w:r w:rsidRPr="00061151">
        <w:t>hlásit každý svůj příchod a odchod na pracoviště společnosti odpovědné osobě společnosti, která jejich činnost objednala nebo na niž dostali v rámci objednávky kontakt;</w:t>
      </w:r>
    </w:p>
    <w:p w14:paraId="6CFDF5C9" w14:textId="77777777" w:rsidR="00061151" w:rsidRDefault="00061151" w:rsidP="00500962">
      <w:pPr>
        <w:pStyle w:val="Odstavecseseznamem"/>
        <w:numPr>
          <w:ilvl w:val="1"/>
          <w:numId w:val="30"/>
        </w:numPr>
      </w:pPr>
      <w:r w:rsidRPr="00061151">
        <w:t>provádět ve společnosti pouze ty činnosti, ke kterým je “subdodavatel” vázán např. smlouvou o dílo, objednávkou či i jinou prokazatelnou dohodou;</w:t>
      </w:r>
    </w:p>
    <w:p w14:paraId="093D0A6D" w14:textId="77777777" w:rsidR="00061151" w:rsidRDefault="00061151" w:rsidP="00B749E0">
      <w:pPr>
        <w:pStyle w:val="Odstavecseseznamem"/>
        <w:numPr>
          <w:ilvl w:val="1"/>
          <w:numId w:val="30"/>
        </w:numPr>
      </w:pPr>
      <w:r w:rsidRPr="00061151">
        <w:t>spolupracovat při zajišťování bezpečnosti a ochrany zdraví při práci pro všechny zaměstnance na pracovišti;</w:t>
      </w:r>
    </w:p>
    <w:p w14:paraId="30628D57" w14:textId="77777777" w:rsidR="00061151" w:rsidRDefault="00061151" w:rsidP="00064EA0">
      <w:pPr>
        <w:pStyle w:val="Odstavecseseznamem"/>
        <w:numPr>
          <w:ilvl w:val="1"/>
          <w:numId w:val="30"/>
        </w:numPr>
      </w:pPr>
      <w:r w:rsidRPr="00061151">
        <w:t>na základě písemné dohody, ve spolupráci s příslušným vedoucím zaměstnancem pracoviště, určit toho ze zaměstnavatelů (nebo přímo OSVČ), který bude koordinovat provádění opatření k ochraně bezpečnosti a zdraví zaměstnanců a postupy k jejich zajištění;</w:t>
      </w:r>
    </w:p>
    <w:p w14:paraId="1F431EAD" w14:textId="77777777" w:rsidR="00061151" w:rsidRDefault="00061151" w:rsidP="000F3B9F">
      <w:pPr>
        <w:pStyle w:val="Odstavecseseznamem"/>
        <w:numPr>
          <w:ilvl w:val="1"/>
          <w:numId w:val="30"/>
        </w:numPr>
      </w:pPr>
      <w:r w:rsidRPr="00061151">
        <w:t>zajistit, aby činnosti a práce “subdodavatele” byly organizovány, koordinovány a prováděny tak, aby současně byli chráněni také zaměstnanci dalších zaměstnavatelů, popř. i ostatní osoby;</w:t>
      </w:r>
    </w:p>
    <w:p w14:paraId="04F938CB" w14:textId="77777777" w:rsidR="00061151" w:rsidRDefault="00061151" w:rsidP="00660FAE">
      <w:pPr>
        <w:pStyle w:val="Odstavecseseznamem"/>
        <w:numPr>
          <w:ilvl w:val="1"/>
          <w:numId w:val="30"/>
        </w:numPr>
      </w:pPr>
      <w:r w:rsidRPr="00061151">
        <w:t>dostatečně a bez zbytečného odkladu informovat odborovou organizaci a zástupce zaměstnanců pro oblast bezpečnosti a ochrany zdraví při práci, a nepůsobí-li u nich, přímo své zaměstnance o rizicích a přijatých opatřeních, které “</w:t>
      </w:r>
      <w:proofErr w:type="spellStart"/>
      <w:r w:rsidRPr="00061151">
        <w:t>subdodvatelé</w:t>
      </w:r>
      <w:proofErr w:type="spellEnd"/>
      <w:r w:rsidRPr="00061151">
        <w:t>” získali od jiných zaměstnavatelů a od společnosti.</w:t>
      </w:r>
    </w:p>
    <w:p w14:paraId="6CA4618D" w14:textId="77777777" w:rsidR="00061151" w:rsidRDefault="00061151" w:rsidP="00653DA6">
      <w:pPr>
        <w:pStyle w:val="Odstavecseseznamem"/>
        <w:numPr>
          <w:ilvl w:val="0"/>
          <w:numId w:val="30"/>
        </w:numPr>
      </w:pPr>
      <w:r w:rsidRPr="00061151">
        <w:t xml:space="preserve">“Subdodavatelé” musejí být o povinnostech plynoucích z tohoto pokynu informováni při provádění objednávky ze strany společnosti, což provede osoba, která objednávku vytvořila. </w:t>
      </w:r>
    </w:p>
    <w:p w14:paraId="03F6A98B" w14:textId="6575A0BD" w:rsidR="00061151" w:rsidRPr="00061151" w:rsidRDefault="00061151" w:rsidP="00653DA6">
      <w:pPr>
        <w:pStyle w:val="Odstavecseseznamem"/>
        <w:numPr>
          <w:ilvl w:val="0"/>
          <w:numId w:val="30"/>
        </w:numPr>
      </w:pPr>
      <w:r w:rsidRPr="00061151">
        <w:t>V případech, kdy “subdodavatelé” na pracovištích společnosti působí bez předchozí objednávky, musejí být o svých povinnostech informování, přiměřeně dle okolností, co možná nejdříve před příchodem na pracoviště společnosti, nejpozději však při příchodu na pracoviště společnosti avšak vždy před zahájením vlastních prací.</w:t>
      </w:r>
    </w:p>
    <w:p w14:paraId="28D2DE4A" w14:textId="62D327F6" w:rsidR="00061151" w:rsidRDefault="00061151">
      <w:pPr>
        <w:spacing w:after="160"/>
        <w:jc w:val="left"/>
      </w:pPr>
      <w:r>
        <w:br w:type="page"/>
      </w:r>
    </w:p>
    <w:p w14:paraId="3CA6777A" w14:textId="50EE88F7" w:rsidR="00061151" w:rsidRPr="00061151" w:rsidRDefault="00061151" w:rsidP="00061151">
      <w:pPr>
        <w:pStyle w:val="Nadpis2"/>
      </w:pPr>
      <w:bookmarkStart w:id="2" w:name="_Toc482447670"/>
      <w:r w:rsidRPr="00061151">
        <w:lastRenderedPageBreak/>
        <w:t>Informování o rizicích a o přijatých opatřeních proti jejich působení</w:t>
      </w:r>
      <w:bookmarkEnd w:id="2"/>
    </w:p>
    <w:p w14:paraId="76B2A897" w14:textId="77777777" w:rsidR="00061151" w:rsidRDefault="00061151" w:rsidP="006D4FFD">
      <w:pPr>
        <w:pStyle w:val="Odstavecseseznamem"/>
        <w:numPr>
          <w:ilvl w:val="0"/>
          <w:numId w:val="47"/>
        </w:numPr>
      </w:pPr>
      <w:r w:rsidRPr="00061151">
        <w:t>Informace o rizicích a o přijatých opatřeních proti jejich působení se poskytují odpovědným zástupcům zaměstnanců nebo přímo zaměstnavatelům “subdodavatelů”, kteří vykonávajících své pracovní činnosti na pracovištích společnosti. Tyto informace:</w:t>
      </w:r>
    </w:p>
    <w:p w14:paraId="0A2DDB54" w14:textId="77777777" w:rsidR="00061151" w:rsidRDefault="00061151" w:rsidP="00503E34">
      <w:pPr>
        <w:pStyle w:val="Odstavecseseznamem"/>
        <w:numPr>
          <w:ilvl w:val="1"/>
          <w:numId w:val="47"/>
        </w:numPr>
      </w:pPr>
      <w:r w:rsidRPr="00061151">
        <w:t>poskytuje příslušný vedoucí zaměstnanec pracoviště, na němž zaměstnanci “subdodavatele” budou vykonávat své pracovní činnosti;</w:t>
      </w:r>
    </w:p>
    <w:p w14:paraId="5FA92019" w14:textId="77777777" w:rsidR="00061151" w:rsidRDefault="00061151" w:rsidP="00B837F7">
      <w:pPr>
        <w:pStyle w:val="Odstavecseseznamem"/>
        <w:numPr>
          <w:ilvl w:val="1"/>
          <w:numId w:val="47"/>
        </w:numPr>
      </w:pPr>
      <w:r w:rsidRPr="00061151">
        <w:t>jsou poskytnuty dle písemných informací o rizicích a o přijatých opatřeních, zpracovaných OZO BOZP; OZO BOZP informace zpracovává na základě podnětu a informací poskytnutých, s dostatečným předstihem, příslušným vedoucím zaměstnancem, dle výsledků procesu řízení rizika a to pro konkrétní činnosti, které „subdodavatel“ pro společnost provádí;</w:t>
      </w:r>
    </w:p>
    <w:p w14:paraId="7400A558" w14:textId="77777777" w:rsidR="00061151" w:rsidRDefault="00061151" w:rsidP="00A61C75">
      <w:pPr>
        <w:pStyle w:val="Odstavecseseznamem"/>
        <w:numPr>
          <w:ilvl w:val="1"/>
          <w:numId w:val="47"/>
        </w:numPr>
      </w:pPr>
      <w:r w:rsidRPr="00061151">
        <w:t>jsou poskytnuty (vždy v písemné formě, popř. doplněné o ústní výklad) odpovědnému vedoucímu zaměstnanci / zaměstnavateli “subdodavatele”, který má povinnost informace předat dál svým podřízeným zaměstnancům, kteří budou pracovat na pracovištích společnosti a to vždy před zahájením jejich pracovních činností u společnosti; informace mohou být v opodstatněných případech (např. z důvodu možného prodlení) poskytnuty, kromě odpovědného vedoucího zaměstnance subdodavatele, i přímo zaměstnancům subdodavatele, vždy však pouze s řádným ústním výkladem a vysvětlením;</w:t>
      </w:r>
    </w:p>
    <w:p w14:paraId="0311BB40" w14:textId="77777777" w:rsidR="00061151" w:rsidRDefault="00061151" w:rsidP="00061151">
      <w:pPr>
        <w:pStyle w:val="Odstavecseseznamem"/>
        <w:numPr>
          <w:ilvl w:val="0"/>
          <w:numId w:val="47"/>
        </w:numPr>
      </w:pPr>
      <w:r w:rsidRPr="00061151">
        <w:t>Informace o rizicích a o přijatých opatřeních, jsou všem fyzickým osobám nacházejícím se na pracovištích společnosti poskytnuty rovněž formou:</w:t>
      </w:r>
    </w:p>
    <w:p w14:paraId="1CC15F3E" w14:textId="77777777" w:rsidR="00061151" w:rsidRDefault="00061151" w:rsidP="002805A1">
      <w:pPr>
        <w:pStyle w:val="Odstavecseseznamem"/>
        <w:numPr>
          <w:ilvl w:val="1"/>
          <w:numId w:val="47"/>
        </w:numPr>
      </w:pPr>
      <w:r w:rsidRPr="00061151">
        <w:t>vyvěšených bezpečnostních tabulek a značení (upozornění, pokyny), které jsou po pracovištích vyvěšeny na základě:</w:t>
      </w:r>
    </w:p>
    <w:p w14:paraId="7A03E600" w14:textId="77777777" w:rsidR="00061151" w:rsidRDefault="00061151" w:rsidP="0068622B">
      <w:pPr>
        <w:pStyle w:val="Odstavecseseznamem"/>
        <w:numPr>
          <w:ilvl w:val="2"/>
          <w:numId w:val="47"/>
        </w:numPr>
      </w:pPr>
      <w:r w:rsidRPr="00061151">
        <w:t>požadavků právních a ostatních předpisů BOZP;</w:t>
      </w:r>
    </w:p>
    <w:p w14:paraId="1B8DA9A2" w14:textId="77777777" w:rsidR="00061151" w:rsidRDefault="00061151" w:rsidP="004836F2">
      <w:pPr>
        <w:pStyle w:val="Odstavecseseznamem"/>
        <w:numPr>
          <w:ilvl w:val="2"/>
          <w:numId w:val="47"/>
        </w:numPr>
      </w:pPr>
      <w:r w:rsidRPr="00061151">
        <w:t>procesu řízení (managementu) rizika;</w:t>
      </w:r>
    </w:p>
    <w:p w14:paraId="019EB2EA" w14:textId="17AE7A11" w:rsidR="00061151" w:rsidRPr="00061151" w:rsidRDefault="00061151" w:rsidP="00061151">
      <w:pPr>
        <w:pStyle w:val="Odstavecseseznamem"/>
        <w:numPr>
          <w:ilvl w:val="1"/>
          <w:numId w:val="47"/>
        </w:numPr>
      </w:pPr>
      <w:r w:rsidRPr="00061151">
        <w:t>vyvěšených písemných informací o rizicích, vyvěšených na základě procesu řízení rizika.</w:t>
      </w:r>
    </w:p>
    <w:p w14:paraId="40427BE5" w14:textId="6572E6F2" w:rsidR="00061151" w:rsidRDefault="00061151">
      <w:pPr>
        <w:spacing w:after="160"/>
        <w:jc w:val="left"/>
      </w:pPr>
      <w:r>
        <w:br w:type="page"/>
      </w:r>
    </w:p>
    <w:p w14:paraId="5197E592" w14:textId="65A5BB31" w:rsidR="00061151" w:rsidRPr="00061151" w:rsidRDefault="00061151" w:rsidP="00061151">
      <w:pPr>
        <w:pStyle w:val="Nadpis2"/>
      </w:pPr>
      <w:bookmarkStart w:id="3" w:name="_Toc482447671"/>
      <w:r w:rsidRPr="00061151">
        <w:lastRenderedPageBreak/>
        <w:t>Předání pracoviště - protokol o předání / převzetí</w:t>
      </w:r>
      <w:bookmarkEnd w:id="3"/>
    </w:p>
    <w:p w14:paraId="300428A9" w14:textId="77777777" w:rsidR="00061151" w:rsidRDefault="00061151" w:rsidP="00A477D1">
      <w:pPr>
        <w:pStyle w:val="Odstavecseseznamem"/>
        <w:numPr>
          <w:ilvl w:val="0"/>
          <w:numId w:val="48"/>
        </w:numPr>
      </w:pPr>
      <w:r w:rsidRPr="00061151">
        <w:t>V případech, kdy bude pracoviště společnosti předáno po určitou dobu výkonu prací “subdodavateli”, se o tomto předání zpracuje protokol. Protokol musí být zpracován obdobně i v případě navrácení pracoviště “su</w:t>
      </w:r>
      <w:r>
        <w:t>bdodavatelem” zpět společnosti.</w:t>
      </w:r>
    </w:p>
    <w:p w14:paraId="6D219761" w14:textId="77777777" w:rsidR="00061151" w:rsidRDefault="00061151" w:rsidP="000F29FA">
      <w:pPr>
        <w:pStyle w:val="Odstavecseseznamem"/>
        <w:numPr>
          <w:ilvl w:val="0"/>
          <w:numId w:val="48"/>
        </w:numPr>
      </w:pPr>
      <w:r w:rsidRPr="00061151">
        <w:t>Protokol o předání pracoviště není nutno zpracovávat, pokud na pracovišti budou společně působit zaměstnanci společnosti a subdodavatele; v těchto případech se uplatní postup informování o rizicích a o přijatých opatřeních a o určení koordinujícího zaměstnavatele, viz odst. (1) a kapitola 1.1.</w:t>
      </w:r>
    </w:p>
    <w:p w14:paraId="1AA3A5B2" w14:textId="77777777" w:rsidR="00061151" w:rsidRDefault="00061151" w:rsidP="008368C9">
      <w:pPr>
        <w:pStyle w:val="Odstavecseseznamem"/>
        <w:numPr>
          <w:ilvl w:val="0"/>
          <w:numId w:val="48"/>
        </w:numPr>
      </w:pPr>
      <w:r w:rsidRPr="00061151">
        <w:t>Protokol o předání pracoviště zpracovává zpravidla vedoucí pracoviště nebo i jiná odpovědná osoba společnosti, např. osoba organizující zakázku. Za zpracování protokolu o předání pracoviště vždy odpovídá vedoucí zaměstnanec daného pracoviště.</w:t>
      </w:r>
    </w:p>
    <w:p w14:paraId="189F182D" w14:textId="77777777" w:rsidR="00061151" w:rsidRDefault="00061151" w:rsidP="00154514">
      <w:pPr>
        <w:pStyle w:val="Odstavecseseznamem"/>
        <w:numPr>
          <w:ilvl w:val="0"/>
          <w:numId w:val="48"/>
        </w:numPr>
      </w:pPr>
      <w:r w:rsidRPr="00061151">
        <w:t>Protokol o předání pracoviště se zpracuje v rozsahu odpovídajícímu rozsahu činností “subdodavatele”, zpravidla však obsahuje alespoň následující skutečnosti:</w:t>
      </w:r>
    </w:p>
    <w:p w14:paraId="26D8A9F0" w14:textId="77777777" w:rsidR="00061151" w:rsidRDefault="00061151" w:rsidP="007670FA">
      <w:pPr>
        <w:pStyle w:val="Odstavecseseznamem"/>
        <w:numPr>
          <w:ilvl w:val="1"/>
          <w:numId w:val="48"/>
        </w:numPr>
      </w:pPr>
      <w:r w:rsidRPr="00061151">
        <w:t>identifikaci “subdodavatele” (název, sídlo podnikání, IČ, popř. razítko);</w:t>
      </w:r>
    </w:p>
    <w:p w14:paraId="641CEAEC" w14:textId="77777777" w:rsidR="00061151" w:rsidRDefault="00061151" w:rsidP="00AF5863">
      <w:pPr>
        <w:pStyle w:val="Odstavecseseznamem"/>
        <w:numPr>
          <w:ilvl w:val="1"/>
          <w:numId w:val="48"/>
        </w:numPr>
      </w:pPr>
      <w:r w:rsidRPr="00061151">
        <w:t>identifikaci odpovědného zaměstnance “subdodavatele” (jméno a příjmení, podpis, kontakt);</w:t>
      </w:r>
    </w:p>
    <w:p w14:paraId="3D6E5C4F" w14:textId="77777777" w:rsidR="00061151" w:rsidRDefault="00061151" w:rsidP="00AE2F4B">
      <w:pPr>
        <w:pStyle w:val="Odstavecseseznamem"/>
        <w:numPr>
          <w:ilvl w:val="1"/>
          <w:numId w:val="48"/>
        </w:numPr>
      </w:pPr>
      <w:r w:rsidRPr="00061151">
        <w:t>identifikaci odpovědného zaměstnance společnosti (jméno a příjmení, podpis, kontakt);</w:t>
      </w:r>
    </w:p>
    <w:p w14:paraId="5A6A255F" w14:textId="77777777" w:rsidR="00061151" w:rsidRDefault="00061151" w:rsidP="002555DD">
      <w:pPr>
        <w:pStyle w:val="Odstavecseseznamem"/>
        <w:numPr>
          <w:ilvl w:val="1"/>
          <w:numId w:val="48"/>
        </w:numPr>
      </w:pPr>
      <w:r w:rsidRPr="00061151">
        <w:t>datum předání/převzetí pracoviště (protokolu) “subdodavatelem”;</w:t>
      </w:r>
    </w:p>
    <w:p w14:paraId="3EA34BC3" w14:textId="77777777" w:rsidR="00061151" w:rsidRDefault="00061151" w:rsidP="0062187F">
      <w:pPr>
        <w:pStyle w:val="Odstavecseseznamem"/>
        <w:numPr>
          <w:ilvl w:val="1"/>
          <w:numId w:val="48"/>
        </w:numPr>
      </w:pPr>
      <w:r w:rsidRPr="00061151">
        <w:t>předpokládané datum vrácení pracoviště “subdodavatelem” zpět společnosti;</w:t>
      </w:r>
    </w:p>
    <w:p w14:paraId="2FC68E4A" w14:textId="77777777" w:rsidR="00061151" w:rsidRDefault="00061151" w:rsidP="00805399">
      <w:pPr>
        <w:pStyle w:val="Odstavecseseznamem"/>
        <w:numPr>
          <w:ilvl w:val="1"/>
          <w:numId w:val="48"/>
        </w:numPr>
      </w:pPr>
      <w:r w:rsidRPr="00061151">
        <w:t>informace o rizicích a přijatých opatřeních k ochraně před jejich působením, relevantních pro předávané pracoviště;</w:t>
      </w:r>
    </w:p>
    <w:p w14:paraId="2D822471" w14:textId="77777777" w:rsidR="00061151" w:rsidRDefault="00061151" w:rsidP="001D66FC">
      <w:pPr>
        <w:pStyle w:val="Odstavecseseznamem"/>
        <w:numPr>
          <w:ilvl w:val="1"/>
          <w:numId w:val="48"/>
        </w:numPr>
      </w:pPr>
      <w:r w:rsidRPr="00061151">
        <w:t>prohlášení zhotovitele a zadavatele o předání pracoviště (příslušný vedoucí zaměstnanec společnosti) a dále např.:</w:t>
      </w:r>
    </w:p>
    <w:p w14:paraId="3D2349CE" w14:textId="77777777" w:rsidR="00061151" w:rsidRDefault="00061151" w:rsidP="004038E9">
      <w:pPr>
        <w:pStyle w:val="Odstavecseseznamem"/>
        <w:numPr>
          <w:ilvl w:val="2"/>
          <w:numId w:val="48"/>
        </w:numPr>
      </w:pPr>
      <w:r w:rsidRPr="00061151">
        <w:t>údaje o pracovišti; údaje o prováděných činnostech subdodavatele;</w:t>
      </w:r>
    </w:p>
    <w:p w14:paraId="27F01865" w14:textId="77777777" w:rsidR="00061151" w:rsidRDefault="00061151" w:rsidP="004C553E">
      <w:pPr>
        <w:pStyle w:val="Odstavecseseznamem"/>
        <w:numPr>
          <w:ilvl w:val="2"/>
          <w:numId w:val="48"/>
        </w:numPr>
      </w:pPr>
      <w:r w:rsidRPr="00061151">
        <w:t>další důležité informace (např. únikové cesty, prostředky PO, lékárničky, WC, místa určená ke kouření apod.);</w:t>
      </w:r>
    </w:p>
    <w:p w14:paraId="39B5637D" w14:textId="77777777" w:rsidR="00061151" w:rsidRDefault="00061151" w:rsidP="001343DC">
      <w:pPr>
        <w:pStyle w:val="Odstavecseseznamem"/>
        <w:numPr>
          <w:ilvl w:val="2"/>
          <w:numId w:val="48"/>
        </w:numPr>
      </w:pPr>
      <w:r w:rsidRPr="00061151">
        <w:t>inventární seznam pracoviště.</w:t>
      </w:r>
    </w:p>
    <w:p w14:paraId="23A6A162" w14:textId="77777777" w:rsidR="00061151" w:rsidRDefault="00061151" w:rsidP="007178FA">
      <w:pPr>
        <w:pStyle w:val="Odstavecseseznamem"/>
        <w:numPr>
          <w:ilvl w:val="0"/>
          <w:numId w:val="48"/>
        </w:numPr>
      </w:pPr>
      <w:r w:rsidRPr="00061151">
        <w:t>Protokol o předání pracoviště “subdodavatelem” zpět společnosti, obsahuje zejména informace o provedených změnách na pracovišti, o případných nových rizikových místech pracoviště a přiměřeně informace uvedené v odst. (4).</w:t>
      </w:r>
    </w:p>
    <w:p w14:paraId="0845C631" w14:textId="77777777" w:rsidR="00061151" w:rsidRDefault="00061151" w:rsidP="003F2476">
      <w:pPr>
        <w:pStyle w:val="Odstavecseseznamem"/>
        <w:numPr>
          <w:ilvl w:val="0"/>
          <w:numId w:val="48"/>
        </w:numPr>
      </w:pPr>
      <w:r w:rsidRPr="00061151">
        <w:t xml:space="preserve">Po dobu předání pracoviště se na toto pohlíží, z hlediska bezpečnosti, jako by bylo majetkem “subdodavatele.” “Subdodavatel” v plném rozsahu odpovídá za bezpečnost a ochranu zdraví při práci a požární ochranu na takto předaném pracovišti, včetně odpovědnosti za dodržování všech závazných právních a ostatních předpisů BOZP. </w:t>
      </w:r>
    </w:p>
    <w:p w14:paraId="77AAF9D3" w14:textId="70765FCA" w:rsidR="00061151" w:rsidRPr="00061151" w:rsidRDefault="00061151" w:rsidP="003F2476">
      <w:pPr>
        <w:pStyle w:val="Odstavecseseznamem"/>
        <w:numPr>
          <w:ilvl w:val="0"/>
          <w:numId w:val="48"/>
        </w:numPr>
      </w:pPr>
      <w:r w:rsidRPr="00061151">
        <w:t>Zaměstnancům společnosti se bez předchozího povolení “subdodavatele” na takto předané pracoviště zakazuje vstup, pokud v protokolu nejsou stanoveny podmínky pro bezpečný vstup zaměstnanců společnosti, např. z důvodu provádění dozoru plnění povinností “subdodavatele.”</w:t>
      </w:r>
    </w:p>
    <w:p w14:paraId="753EFD26" w14:textId="74395C56" w:rsidR="00061151" w:rsidRDefault="00061151">
      <w:pPr>
        <w:spacing w:after="160"/>
        <w:jc w:val="left"/>
      </w:pPr>
      <w:r>
        <w:br w:type="page"/>
      </w:r>
    </w:p>
    <w:p w14:paraId="0C82916B" w14:textId="762F3CFC" w:rsidR="00061151" w:rsidRPr="00061151" w:rsidRDefault="00061151" w:rsidP="00061151">
      <w:pPr>
        <w:pStyle w:val="Nadpis2"/>
      </w:pPr>
      <w:bookmarkStart w:id="4" w:name="_Toc482447672"/>
      <w:r w:rsidRPr="00061151">
        <w:lastRenderedPageBreak/>
        <w:t>Další povinnosti na úseku požární ochrany</w:t>
      </w:r>
      <w:bookmarkEnd w:id="4"/>
    </w:p>
    <w:p w14:paraId="61855139" w14:textId="77777777" w:rsidR="00061151" w:rsidRDefault="00061151" w:rsidP="00FF327B">
      <w:pPr>
        <w:pStyle w:val="Odstavecseseznamem"/>
        <w:numPr>
          <w:ilvl w:val="0"/>
          <w:numId w:val="49"/>
        </w:numPr>
      </w:pPr>
      <w:r w:rsidRPr="00061151">
        <w:t>V návaznosti na požadavky zákona č. 133/1985 Sb., úz, se provádí školení externích zaměstnanců, za následujících podmínek:</w:t>
      </w:r>
    </w:p>
    <w:p w14:paraId="5DD34ADA" w14:textId="77777777" w:rsidR="00061151" w:rsidRDefault="00061151" w:rsidP="00C10FCF">
      <w:pPr>
        <w:pStyle w:val="Odstavecseseznamem"/>
        <w:numPr>
          <w:ilvl w:val="1"/>
          <w:numId w:val="49"/>
        </w:numPr>
      </w:pPr>
      <w:r w:rsidRPr="00061151">
        <w:t>školení externích zaměstnanců se organizuje:</w:t>
      </w:r>
    </w:p>
    <w:p w14:paraId="2973AB29" w14:textId="77777777" w:rsidR="00061151" w:rsidRDefault="00061151" w:rsidP="00253922">
      <w:pPr>
        <w:pStyle w:val="Odstavecseseznamem"/>
        <w:numPr>
          <w:ilvl w:val="2"/>
          <w:numId w:val="49"/>
        </w:numPr>
      </w:pPr>
      <w:r w:rsidRPr="00061151">
        <w:t xml:space="preserve">pro všechny osoby, které vykonávají činnosti uvedené v </w:t>
      </w:r>
      <w:hyperlink r:id="rId9" w:anchor="parCnt" w:history="1">
        <w:r w:rsidRPr="00061151">
          <w:rPr>
            <w:rStyle w:val="Hypertextovodkaz"/>
          </w:rPr>
          <w:t xml:space="preserve">§ 4 odst. 2 a 3 zákona </w:t>
        </w:r>
      </w:hyperlink>
      <w:r w:rsidRPr="00061151">
        <w:t xml:space="preserve">(zda se jedná o uvedené činnosti, posuzují příslušní vedoucí zaměstnanci popř. ve spolupráci s technikem požární ochrany společnosti) na pracovištích společnosti a nejsou ke společnosti v pracovním poměru nebo obdobném pracovním vztahu; </w:t>
      </w:r>
    </w:p>
    <w:p w14:paraId="45F7B0B3" w14:textId="77777777" w:rsidR="00061151" w:rsidRDefault="00061151" w:rsidP="007079C3">
      <w:pPr>
        <w:pStyle w:val="Odstavecseseznamem"/>
        <w:numPr>
          <w:ilvl w:val="2"/>
          <w:numId w:val="49"/>
        </w:numPr>
      </w:pPr>
      <w:r w:rsidRPr="00061151">
        <w:t>vždy před zahájením činností a při každé změně pracoviště nebo pracovního zařazení, pokud se tím mění i obsah skutečností, se kterými má být externí zaměstnanec seznámen;</w:t>
      </w:r>
    </w:p>
    <w:p w14:paraId="38E46FE7" w14:textId="77777777" w:rsidR="00061151" w:rsidRDefault="00061151" w:rsidP="00221CA7">
      <w:pPr>
        <w:pStyle w:val="Odstavecseseznamem"/>
        <w:numPr>
          <w:ilvl w:val="2"/>
          <w:numId w:val="49"/>
        </w:numPr>
      </w:pPr>
      <w:r w:rsidRPr="00061151">
        <w:t>při dlouhodobých činnostech, periodicky ve lhůtě alespoň 1 x 2 roky;</w:t>
      </w:r>
    </w:p>
    <w:p w14:paraId="28458E68" w14:textId="77777777" w:rsidR="00061151" w:rsidRDefault="00061151" w:rsidP="008F4360">
      <w:pPr>
        <w:pStyle w:val="Odstavecseseznamem"/>
        <w:numPr>
          <w:ilvl w:val="1"/>
          <w:numId w:val="49"/>
        </w:numPr>
      </w:pPr>
      <w:r w:rsidRPr="00061151">
        <w:t xml:space="preserve">školení externích zaměstnanců: </w:t>
      </w:r>
    </w:p>
    <w:p w14:paraId="1842D49F" w14:textId="77777777" w:rsidR="00061151" w:rsidRDefault="00061151" w:rsidP="00524CBA">
      <w:pPr>
        <w:pStyle w:val="Odstavecseseznamem"/>
        <w:numPr>
          <w:ilvl w:val="2"/>
          <w:numId w:val="49"/>
        </w:numPr>
      </w:pPr>
      <w:r w:rsidRPr="00061151">
        <w:t>provádí příslušný vedoucí zaměstnanec pracoviště, na kterém budou práce externích zaměstnanců prováděny, v opodstatněných případech i technik požární ochrany společnosti;</w:t>
      </w:r>
    </w:p>
    <w:p w14:paraId="0558357D" w14:textId="77777777" w:rsidR="00061151" w:rsidRDefault="00061151" w:rsidP="0083204B">
      <w:pPr>
        <w:pStyle w:val="Odstavecseseznamem"/>
        <w:numPr>
          <w:ilvl w:val="2"/>
          <w:numId w:val="49"/>
        </w:numPr>
      </w:pPr>
      <w:r w:rsidRPr="00061151">
        <w:t xml:space="preserve">se provádí v rozsahu dle tematického plánu a časového rozvrhu školení požární ochrany externích zaměstnanců, viz </w:t>
      </w:r>
      <w:commentRangeStart w:id="5"/>
      <w:r w:rsidRPr="00061151">
        <w:t>saw_15g01</w:t>
      </w:r>
      <w:commentRangeEnd w:id="5"/>
      <w:r w:rsidR="00094F06">
        <w:rPr>
          <w:rStyle w:val="Odkaznakoment"/>
        </w:rPr>
        <w:commentReference w:id="5"/>
      </w:r>
      <w:r w:rsidRPr="00061151">
        <w:t>.</w:t>
      </w:r>
    </w:p>
    <w:p w14:paraId="5CF9DD99" w14:textId="09B63AF0" w:rsidR="00061151" w:rsidRDefault="00061151" w:rsidP="00061151">
      <w:pPr>
        <w:pStyle w:val="Odstavecseseznamem"/>
        <w:numPr>
          <w:ilvl w:val="0"/>
          <w:numId w:val="49"/>
        </w:numPr>
      </w:pPr>
      <w:r w:rsidRPr="00061151">
        <w:t>V případě, že budou externí zaměstnanci provádět požárně nebezpečné práce, tuto skutečnost ještě před zahájením takových prací oznámí příslušnému vedoucímu zaměstnanci pracoviště nebo místně příslušnému veliteli preventivní požární hlídky a dohodnou s ním další bezpečný postup.</w:t>
      </w:r>
    </w:p>
    <w:p w14:paraId="2EFFC821" w14:textId="4D17C439" w:rsidR="00634855" w:rsidRDefault="00634855" w:rsidP="00634855"/>
    <w:p w14:paraId="5007F53F" w14:textId="4188DD46" w:rsidR="00634855" w:rsidRPr="00061151" w:rsidRDefault="00634855" w:rsidP="00634855">
      <w:pPr>
        <w:pStyle w:val="Nadpis2"/>
      </w:pPr>
      <w:bookmarkStart w:id="6" w:name="_Toc482447673"/>
      <w:r>
        <w:t>Povinnosti ve vztahu k používaným strojům, technickým zařízením, přístrojům a nářadí</w:t>
      </w:r>
      <w:bookmarkEnd w:id="6"/>
    </w:p>
    <w:p w14:paraId="5C585D55" w14:textId="02B8510E" w:rsidR="00634855" w:rsidRDefault="00634855" w:rsidP="00634855">
      <w:pPr>
        <w:pStyle w:val="Odstavecseseznamem"/>
        <w:numPr>
          <w:ilvl w:val="0"/>
          <w:numId w:val="50"/>
        </w:numPr>
      </w:pPr>
      <w:r>
        <w:t>Veškeré stroje, technická zařízení, přístroje a nářadí, které budou externí zaměstnanci při své práci používat, musejí být pravidelně a řádně kontrolovány, revidovány a udržovány a to v souladu s požadavky právních a ostatních předpisů BOZP.</w:t>
      </w:r>
    </w:p>
    <w:p w14:paraId="740A2BC6" w14:textId="34AABF17" w:rsidR="00634855" w:rsidRDefault="00634855" w:rsidP="00634855">
      <w:pPr>
        <w:pStyle w:val="Odstavecseseznamem"/>
        <w:numPr>
          <w:ilvl w:val="0"/>
          <w:numId w:val="50"/>
        </w:numPr>
      </w:pPr>
      <w:r>
        <w:t>Odpovědný zástupce externích zaměstnanců na vyžádání vedoucího zaměstnance pracoviště, na němž budou práce probíhat, předloží doklad o provedených úkonech uvedených v odst. (1).</w:t>
      </w:r>
    </w:p>
    <w:p w14:paraId="23CFA549" w14:textId="77777777" w:rsidR="00634855" w:rsidRPr="00061151" w:rsidRDefault="00634855" w:rsidP="00634855"/>
    <w:sectPr w:rsidR="00634855" w:rsidRPr="00061151" w:rsidSect="00094F0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Vit Hofman" w:date="2017-05-13T14:06:00Z" w:initials="VH">
    <w:p w14:paraId="4E96C9E4" w14:textId="77777777" w:rsidR="00094F06" w:rsidRDefault="00094F06" w:rsidP="00094F06">
      <w:pPr>
        <w:pStyle w:val="Textkomente"/>
        <w:rPr>
          <w:color w:val="FF0000"/>
        </w:rPr>
      </w:pPr>
      <w:r>
        <w:rPr>
          <w:rStyle w:val="Odkaznakoment"/>
        </w:rPr>
        <w:annotationRef/>
      </w:r>
      <w:r>
        <w:t xml:space="preserve">Dokumenty označené saw_XXyZ je možno objednat nebo poptat v obchodě </w:t>
      </w:r>
      <w:hyperlink r:id="rId1" w:history="1">
        <w:r w:rsidRPr="00B038AE">
          <w:rPr>
            <w:rStyle w:val="Hypertextovodkaz"/>
          </w:rPr>
          <w:t>www.sawuh.cz/obchod</w:t>
        </w:r>
      </w:hyperlink>
    </w:p>
    <w:p w14:paraId="09CC0C85" w14:textId="77777777" w:rsidR="00094F06" w:rsidRDefault="00094F06" w:rsidP="00094F06">
      <w:pPr>
        <w:pStyle w:val="Textkomente"/>
        <w:rPr>
          <w:color w:val="FF0000"/>
        </w:rPr>
      </w:pPr>
    </w:p>
    <w:p w14:paraId="7408F1E0" w14:textId="77777777" w:rsidR="00094F06" w:rsidRDefault="00094F06" w:rsidP="00094F06">
      <w:pPr>
        <w:pStyle w:val="Textkomente"/>
        <w:rPr>
          <w:color w:val="FF0000"/>
        </w:rPr>
      </w:pPr>
      <w:r>
        <w:rPr>
          <w:color w:val="FF0000"/>
        </w:rPr>
        <w:t>---</w:t>
      </w:r>
    </w:p>
    <w:p w14:paraId="16341AFC" w14:textId="77777777" w:rsidR="00094F06" w:rsidRDefault="00094F06" w:rsidP="00094F06">
      <w:pPr>
        <w:pStyle w:val="Textkomente"/>
        <w:rPr>
          <w:color w:val="FF0000"/>
        </w:rPr>
      </w:pPr>
      <w:r w:rsidRPr="00F17805">
        <w:rPr>
          <w:color w:val="FF0000"/>
        </w:rPr>
        <w:t>Pozn.: TENTO KOMENÁŘ</w:t>
      </w:r>
      <w:r>
        <w:rPr>
          <w:color w:val="FF0000"/>
        </w:rPr>
        <w:t xml:space="preserve"> A PŘÍPADNÉ DALŠÍ,</w:t>
      </w:r>
      <w:r w:rsidRPr="00F17805">
        <w:rPr>
          <w:color w:val="FF0000"/>
        </w:rPr>
        <w:t xml:space="preserve"> SMAŽETE </w:t>
      </w:r>
      <w:r>
        <w:rPr>
          <w:color w:val="FF0000"/>
        </w:rPr>
        <w:t xml:space="preserve">TAK, ŽE NA NĚJ KLIKNETE </w:t>
      </w:r>
      <w:r w:rsidRPr="00F17805">
        <w:rPr>
          <w:color w:val="FF0000"/>
        </w:rPr>
        <w:t xml:space="preserve">PRAVÝM TLAČÍKEM MYŠI A </w:t>
      </w:r>
      <w:r>
        <w:rPr>
          <w:color w:val="FF0000"/>
        </w:rPr>
        <w:t>ZVOLÍTE MOŽNOST: „</w:t>
      </w:r>
      <w:r w:rsidRPr="00F17805">
        <w:rPr>
          <w:color w:val="FF0000"/>
        </w:rPr>
        <w:t>ODSTRANIT KOMENTÁŘ.</w:t>
      </w:r>
      <w:r>
        <w:rPr>
          <w:color w:val="FF0000"/>
        </w:rPr>
        <w:t>“</w:t>
      </w:r>
    </w:p>
    <w:p w14:paraId="67FBEBB8" w14:textId="77777777" w:rsidR="00094F06" w:rsidRDefault="00094F06" w:rsidP="00094F06">
      <w:pPr>
        <w:pStyle w:val="Textkomente"/>
        <w:rPr>
          <w:color w:val="7030A0"/>
        </w:rPr>
      </w:pPr>
      <w:r w:rsidRPr="002433F9">
        <w:rPr>
          <w:color w:val="7030A0"/>
        </w:rPr>
        <w:t>Komentáře však mazat nemusíte. Pokud je nechcete tisknout, stačí, pokud v tiskové volbě, v nastavení, odtrhnete možnost: „Tisknout revize“, viz obrázek.</w:t>
      </w:r>
    </w:p>
    <w:p w14:paraId="468ED832" w14:textId="77777777" w:rsidR="00094F06" w:rsidRDefault="00094F06" w:rsidP="00094F06">
      <w:pPr>
        <w:pStyle w:val="Textkomente"/>
      </w:pPr>
      <w:r>
        <w:rPr>
          <w:noProof/>
          <w:lang w:eastAsia="cs-CZ"/>
        </w:rPr>
        <w:drawing>
          <wp:inline distT="0" distB="0" distL="0" distR="0" wp14:anchorId="7AD2C003" wp14:editId="021D3FE2">
            <wp:extent cx="5760720" cy="3600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8D4A5" w14:textId="77777777" w:rsidR="00094F06" w:rsidRDefault="00094F06" w:rsidP="00094F06">
      <w:pPr>
        <w:pStyle w:val="Textkomente"/>
      </w:pPr>
      <w:r>
        <w:rPr>
          <w:rStyle w:val="Odkaznakoment"/>
        </w:rPr>
        <w:annotationRef/>
      </w:r>
    </w:p>
    <w:p w14:paraId="4D746EB3" w14:textId="06C7B288" w:rsidR="00094F06" w:rsidRDefault="00094F06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746E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746EB3" w16cid:durableId="1FA7CA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10D24" w14:textId="77777777" w:rsidR="00C97F7E" w:rsidRDefault="00C97F7E" w:rsidP="00B05CB9">
      <w:pPr>
        <w:spacing w:line="240" w:lineRule="auto"/>
      </w:pPr>
      <w:r>
        <w:separator/>
      </w:r>
    </w:p>
  </w:endnote>
  <w:endnote w:type="continuationSeparator" w:id="0">
    <w:p w14:paraId="173415E5" w14:textId="77777777" w:rsidR="00C97F7E" w:rsidRDefault="00C97F7E" w:rsidP="00B05CB9">
      <w:pPr>
        <w:spacing w:line="240" w:lineRule="auto"/>
      </w:pPr>
      <w:r>
        <w:continuationSeparator/>
      </w:r>
    </w:p>
  </w:endnote>
  <w:endnote w:type="continuationNotice" w:id="1">
    <w:p w14:paraId="4B246F35" w14:textId="77777777" w:rsidR="00C97F7E" w:rsidRDefault="00C97F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BC42A1" w14:paraId="6C90F1A8" w14:textId="77777777" w:rsidTr="00693FC4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EEAB9ED" w14:textId="77777777" w:rsidR="00BC42A1" w:rsidRDefault="00BC42A1" w:rsidP="00BC42A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7" w:name="_Hlk487353101"/>
          <w:bookmarkStart w:id="8" w:name="_Hlk487353100"/>
          <w:bookmarkStart w:id="9" w:name="_Hlk487353099"/>
          <w:bookmarkStart w:id="10" w:name="_Hlk482105600"/>
          <w:bookmarkStart w:id="11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DEB6C46" w14:textId="77777777" w:rsidR="00BC42A1" w:rsidRDefault="00BC42A1" w:rsidP="00BC42A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BA59598" w14:textId="77777777" w:rsidR="00BC42A1" w:rsidRDefault="00BC42A1" w:rsidP="00BC42A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A68ABBC" w14:textId="77777777" w:rsidR="00BC42A1" w:rsidRDefault="00BC42A1" w:rsidP="00BC42A1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BC42A1" w14:paraId="2D013115" w14:textId="77777777" w:rsidTr="00693FC4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0F93BA3D" w14:textId="77777777" w:rsidR="00BC42A1" w:rsidRDefault="00BC42A1" w:rsidP="00BC42A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57D6DED" wp14:editId="07EECB08">
                <wp:extent cx="647700" cy="20955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315C618B" w14:textId="77777777" w:rsidR="00BC42A1" w:rsidRDefault="00BC42A1" w:rsidP="00BC42A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4016F1DB" w14:textId="77777777" w:rsidR="00BC42A1" w:rsidRDefault="00BC42A1" w:rsidP="00BC42A1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4B4928AA" w14:textId="77777777" w:rsidR="00BC42A1" w:rsidRDefault="00BC42A1" w:rsidP="00BC42A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50A9CDE2" w14:textId="77777777" w:rsidR="00BC42A1" w:rsidRDefault="00BC42A1" w:rsidP="00BC42A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1D4C45EC" w14:textId="77777777" w:rsidR="00BC42A1" w:rsidRDefault="00BC42A1" w:rsidP="00BC42A1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12233B04" w14:textId="77777777" w:rsidR="00BC42A1" w:rsidRDefault="00BC42A1" w:rsidP="00BC42A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6C9BB87B" w14:textId="77777777" w:rsidR="00BC42A1" w:rsidRDefault="00BC42A1" w:rsidP="00BC42A1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7"/>
    <w:bookmarkEnd w:id="8"/>
    <w:bookmarkEnd w:id="9"/>
    <w:bookmarkEnd w:id="10"/>
    <w:bookmarkEnd w:id="11"/>
  </w:tbl>
  <w:p w14:paraId="0FFAB156" w14:textId="15E58FE4" w:rsidR="00AA0A26" w:rsidRPr="00BC42A1" w:rsidRDefault="00AA0A26" w:rsidP="00BC4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45C55" w14:textId="77777777" w:rsidR="00C97F7E" w:rsidRDefault="00C97F7E" w:rsidP="00B05CB9">
      <w:pPr>
        <w:spacing w:line="240" w:lineRule="auto"/>
      </w:pPr>
      <w:r>
        <w:separator/>
      </w:r>
    </w:p>
  </w:footnote>
  <w:footnote w:type="continuationSeparator" w:id="0">
    <w:p w14:paraId="150D0296" w14:textId="77777777" w:rsidR="00C97F7E" w:rsidRDefault="00C97F7E" w:rsidP="00B05CB9">
      <w:pPr>
        <w:spacing w:line="240" w:lineRule="auto"/>
      </w:pPr>
      <w:r>
        <w:continuationSeparator/>
      </w:r>
    </w:p>
  </w:footnote>
  <w:footnote w:type="continuationNotice" w:id="1">
    <w:p w14:paraId="4E1BB4FE" w14:textId="77777777" w:rsidR="00C97F7E" w:rsidRDefault="00C97F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BC42A1" w:rsidRPr="00E3679C" w14:paraId="0EFBAD53" w14:textId="77777777" w:rsidTr="00094F06">
      <w:tc>
        <w:tcPr>
          <w:tcW w:w="1276" w:type="dxa"/>
        </w:tcPr>
        <w:p w14:paraId="1FA13862" w14:textId="6D5072C0" w:rsidR="00BC42A1" w:rsidRPr="00E3679C" w:rsidRDefault="00BC42A1" w:rsidP="00BC42A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24F1521" wp14:editId="6EEA63AF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46DA0CAA" w14:textId="77777777" w:rsidR="00BC42A1" w:rsidRPr="00290B9A" w:rsidRDefault="00BC42A1" w:rsidP="00BC42A1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3624C301" w14:textId="77777777" w:rsidR="00BC42A1" w:rsidRPr="00290B9A" w:rsidRDefault="00BC42A1" w:rsidP="00BC42A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3B59D0C2" w14:textId="77777777" w:rsidR="00BC42A1" w:rsidRPr="00290B9A" w:rsidRDefault="00BC42A1" w:rsidP="00BC42A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7FAA82AE" w:rsidR="00BC42A1" w:rsidRPr="00E3679C" w:rsidRDefault="00BC42A1" w:rsidP="00BC42A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5809C2CF" w:rsidR="00BC42A1" w:rsidRPr="00E3679C" w:rsidRDefault="00BC42A1" w:rsidP="00BC42A1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3679C">
            <w:rPr>
              <w:color w:val="808080" w:themeColor="background1" w:themeShade="80"/>
              <w:sz w:val="16"/>
              <w:szCs w:val="16"/>
            </w:rPr>
            <w:t>Interní označení dokumentu: saw_02a05</w:t>
          </w:r>
        </w:p>
        <w:p w14:paraId="2A9798D8" w14:textId="34982782" w:rsidR="00BC42A1" w:rsidRPr="00E3679C" w:rsidRDefault="00BC42A1" w:rsidP="00BC42A1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3679C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234D0E2" w14:textId="30999218" w:rsidR="00BC42A1" w:rsidRPr="00E3679C" w:rsidRDefault="00BC42A1" w:rsidP="00BC42A1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3679C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BC42A1" w:rsidRPr="00E3679C" w:rsidRDefault="00BC42A1" w:rsidP="00BC42A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094F06" w:rsidRPr="00E3679C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094F06" w:rsidRPr="00E3679C" w:rsidRDefault="00094F06" w:rsidP="00094F06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094F06" w:rsidRPr="00E3679C" w14:paraId="4C526DF4" w14:textId="77777777" w:rsidTr="00094F06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094F06" w:rsidRPr="00E3679C" w:rsidRDefault="00094F06" w:rsidP="00094F0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094F06" w:rsidRPr="00E3679C" w:rsidRDefault="00094F06" w:rsidP="00094F0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094F06" w:rsidRPr="00E3679C" w:rsidRDefault="00094F06" w:rsidP="00094F06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E3679C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3862B4"/>
    <w:multiLevelType w:val="multilevel"/>
    <w:tmpl w:val="B154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93905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4122DE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0A4797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9C59B8"/>
    <w:multiLevelType w:val="multilevel"/>
    <w:tmpl w:val="475AA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C0573B"/>
    <w:multiLevelType w:val="multilevel"/>
    <w:tmpl w:val="6C6A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FE156D"/>
    <w:multiLevelType w:val="multilevel"/>
    <w:tmpl w:val="6D2C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F7541D"/>
    <w:multiLevelType w:val="multilevel"/>
    <w:tmpl w:val="64FA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EF391E"/>
    <w:multiLevelType w:val="multilevel"/>
    <w:tmpl w:val="C5C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EE51E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1C7B9D"/>
    <w:multiLevelType w:val="multilevel"/>
    <w:tmpl w:val="09A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602DE9"/>
    <w:multiLevelType w:val="multilevel"/>
    <w:tmpl w:val="06FA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7F31D2"/>
    <w:multiLevelType w:val="multilevel"/>
    <w:tmpl w:val="1458D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3D2CE6"/>
    <w:multiLevelType w:val="multilevel"/>
    <w:tmpl w:val="4636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E7353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3200BE"/>
    <w:multiLevelType w:val="multilevel"/>
    <w:tmpl w:val="29A4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1A368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8"/>
  </w:num>
  <w:num w:numId="3">
    <w:abstractNumId w:val="1"/>
  </w:num>
  <w:num w:numId="4">
    <w:abstractNumId w:val="5"/>
  </w:num>
  <w:num w:numId="5">
    <w:abstractNumId w:val="41"/>
  </w:num>
  <w:num w:numId="6">
    <w:abstractNumId w:val="33"/>
  </w:num>
  <w:num w:numId="7">
    <w:abstractNumId w:val="32"/>
  </w:num>
  <w:num w:numId="8">
    <w:abstractNumId w:val="40"/>
  </w:num>
  <w:num w:numId="9">
    <w:abstractNumId w:val="11"/>
  </w:num>
  <w:num w:numId="10">
    <w:abstractNumId w:val="19"/>
  </w:num>
  <w:num w:numId="11">
    <w:abstractNumId w:val="34"/>
  </w:num>
  <w:num w:numId="12">
    <w:abstractNumId w:val="29"/>
  </w:num>
  <w:num w:numId="13">
    <w:abstractNumId w:val="16"/>
  </w:num>
  <w:num w:numId="14">
    <w:abstractNumId w:val="35"/>
  </w:num>
  <w:num w:numId="15">
    <w:abstractNumId w:val="26"/>
  </w:num>
  <w:num w:numId="16">
    <w:abstractNumId w:val="0"/>
  </w:num>
  <w:num w:numId="17">
    <w:abstractNumId w:val="27"/>
  </w:num>
  <w:num w:numId="18">
    <w:abstractNumId w:val="47"/>
  </w:num>
  <w:num w:numId="19">
    <w:abstractNumId w:val="44"/>
  </w:num>
  <w:num w:numId="20">
    <w:abstractNumId w:val="15"/>
  </w:num>
  <w:num w:numId="21">
    <w:abstractNumId w:val="21"/>
  </w:num>
  <w:num w:numId="22">
    <w:abstractNumId w:val="24"/>
  </w:num>
  <w:num w:numId="23">
    <w:abstractNumId w:val="14"/>
  </w:num>
  <w:num w:numId="24">
    <w:abstractNumId w:val="12"/>
  </w:num>
  <w:num w:numId="25">
    <w:abstractNumId w:val="18"/>
  </w:num>
  <w:num w:numId="26">
    <w:abstractNumId w:val="6"/>
  </w:num>
  <w:num w:numId="27">
    <w:abstractNumId w:val="8"/>
  </w:num>
  <w:num w:numId="28">
    <w:abstractNumId w:val="45"/>
  </w:num>
  <w:num w:numId="29">
    <w:abstractNumId w:val="38"/>
  </w:num>
  <w:num w:numId="30">
    <w:abstractNumId w:val="46"/>
  </w:num>
  <w:num w:numId="31">
    <w:abstractNumId w:val="7"/>
  </w:num>
  <w:num w:numId="32">
    <w:abstractNumId w:val="17"/>
  </w:num>
  <w:num w:numId="33">
    <w:abstractNumId w:val="23"/>
  </w:num>
  <w:num w:numId="34">
    <w:abstractNumId w:val="42"/>
  </w:num>
  <w:num w:numId="35">
    <w:abstractNumId w:val="39"/>
  </w:num>
  <w:num w:numId="36">
    <w:abstractNumId w:val="30"/>
  </w:num>
  <w:num w:numId="37">
    <w:abstractNumId w:val="36"/>
    <w:lvlOverride w:ilvl="0">
      <w:lvl w:ilvl="0">
        <w:numFmt w:val="decimal"/>
        <w:lvlText w:val="%1."/>
        <w:lvlJc w:val="left"/>
      </w:lvl>
    </w:lvlOverride>
  </w:num>
  <w:num w:numId="38">
    <w:abstractNumId w:val="36"/>
    <w:lvlOverride w:ilvl="0">
      <w:lvl w:ilvl="0">
        <w:numFmt w:val="decimal"/>
        <w:lvlText w:val="%1."/>
        <w:lvlJc w:val="left"/>
      </w:lvl>
    </w:lvlOverride>
  </w:num>
  <w:num w:numId="39">
    <w:abstractNumId w:val="31"/>
  </w:num>
  <w:num w:numId="40">
    <w:abstractNumId w:val="13"/>
    <w:lvlOverride w:ilvl="0">
      <w:lvl w:ilvl="0">
        <w:numFmt w:val="decimal"/>
        <w:lvlText w:val="%1."/>
        <w:lvlJc w:val="left"/>
      </w:lvl>
    </w:lvlOverride>
  </w:num>
  <w:num w:numId="41">
    <w:abstractNumId w:val="13"/>
    <w:lvlOverride w:ilvl="0">
      <w:lvl w:ilvl="0">
        <w:numFmt w:val="decimal"/>
        <w:lvlText w:val="%1."/>
        <w:lvlJc w:val="left"/>
      </w:lvl>
    </w:lvlOverride>
  </w:num>
  <w:num w:numId="42">
    <w:abstractNumId w:val="10"/>
  </w:num>
  <w:num w:numId="43">
    <w:abstractNumId w:val="37"/>
  </w:num>
  <w:num w:numId="44">
    <w:abstractNumId w:val="20"/>
  </w:num>
  <w:num w:numId="45">
    <w:abstractNumId w:val="22"/>
  </w:num>
  <w:num w:numId="46">
    <w:abstractNumId w:val="3"/>
  </w:num>
  <w:num w:numId="47">
    <w:abstractNumId w:val="43"/>
  </w:num>
  <w:num w:numId="48">
    <w:abstractNumId w:val="25"/>
  </w:num>
  <w:num w:numId="49">
    <w:abstractNumId w:val="9"/>
  </w:num>
  <w:num w:numId="50">
    <w:abstractNumId w:val="4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t Hofman">
    <w15:presenceInfo w15:providerId="None" w15:userId="Vit Hof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123BD"/>
    <w:rsid w:val="00013DB9"/>
    <w:rsid w:val="00015B3F"/>
    <w:rsid w:val="00031371"/>
    <w:rsid w:val="00061151"/>
    <w:rsid w:val="00072615"/>
    <w:rsid w:val="00094F06"/>
    <w:rsid w:val="000A072A"/>
    <w:rsid w:val="000C7D74"/>
    <w:rsid w:val="000D0197"/>
    <w:rsid w:val="000F643F"/>
    <w:rsid w:val="0010626A"/>
    <w:rsid w:val="00141E8E"/>
    <w:rsid w:val="00154219"/>
    <w:rsid w:val="001A411B"/>
    <w:rsid w:val="001B61B8"/>
    <w:rsid w:val="001B6938"/>
    <w:rsid w:val="001E3974"/>
    <w:rsid w:val="001E5EC1"/>
    <w:rsid w:val="001F2895"/>
    <w:rsid w:val="00200191"/>
    <w:rsid w:val="002032CB"/>
    <w:rsid w:val="00203E52"/>
    <w:rsid w:val="00216929"/>
    <w:rsid w:val="00217402"/>
    <w:rsid w:val="00217883"/>
    <w:rsid w:val="002222E0"/>
    <w:rsid w:val="0023491C"/>
    <w:rsid w:val="002379E0"/>
    <w:rsid w:val="00245D4C"/>
    <w:rsid w:val="00267111"/>
    <w:rsid w:val="002709CD"/>
    <w:rsid w:val="00273E82"/>
    <w:rsid w:val="0029541A"/>
    <w:rsid w:val="002E5166"/>
    <w:rsid w:val="002E69C7"/>
    <w:rsid w:val="00350508"/>
    <w:rsid w:val="0036197D"/>
    <w:rsid w:val="00383C9B"/>
    <w:rsid w:val="00385285"/>
    <w:rsid w:val="003B38DC"/>
    <w:rsid w:val="003B7035"/>
    <w:rsid w:val="003D092F"/>
    <w:rsid w:val="003D7AAE"/>
    <w:rsid w:val="003E5985"/>
    <w:rsid w:val="00424845"/>
    <w:rsid w:val="004300D9"/>
    <w:rsid w:val="00450A88"/>
    <w:rsid w:val="004532F3"/>
    <w:rsid w:val="00464764"/>
    <w:rsid w:val="004950CC"/>
    <w:rsid w:val="005149E7"/>
    <w:rsid w:val="00572C32"/>
    <w:rsid w:val="00596898"/>
    <w:rsid w:val="005D1C82"/>
    <w:rsid w:val="005D5549"/>
    <w:rsid w:val="006154CD"/>
    <w:rsid w:val="006272E2"/>
    <w:rsid w:val="00634855"/>
    <w:rsid w:val="00652214"/>
    <w:rsid w:val="00663FCF"/>
    <w:rsid w:val="006B014B"/>
    <w:rsid w:val="006D4191"/>
    <w:rsid w:val="00713B93"/>
    <w:rsid w:val="00736A3D"/>
    <w:rsid w:val="0074374D"/>
    <w:rsid w:val="007536E5"/>
    <w:rsid w:val="007674D7"/>
    <w:rsid w:val="00781DB2"/>
    <w:rsid w:val="007821BD"/>
    <w:rsid w:val="00795308"/>
    <w:rsid w:val="008328F2"/>
    <w:rsid w:val="00876A79"/>
    <w:rsid w:val="00894BB2"/>
    <w:rsid w:val="00921ADF"/>
    <w:rsid w:val="0093332D"/>
    <w:rsid w:val="0097696E"/>
    <w:rsid w:val="00990201"/>
    <w:rsid w:val="009A49EE"/>
    <w:rsid w:val="009D3F58"/>
    <w:rsid w:val="00A420D0"/>
    <w:rsid w:val="00A806F8"/>
    <w:rsid w:val="00A846D9"/>
    <w:rsid w:val="00AA0A26"/>
    <w:rsid w:val="00AB6458"/>
    <w:rsid w:val="00AE74A2"/>
    <w:rsid w:val="00AE76DD"/>
    <w:rsid w:val="00AF1B2B"/>
    <w:rsid w:val="00B05CB9"/>
    <w:rsid w:val="00B15D03"/>
    <w:rsid w:val="00B742F2"/>
    <w:rsid w:val="00B746D1"/>
    <w:rsid w:val="00BA0F41"/>
    <w:rsid w:val="00BB30CB"/>
    <w:rsid w:val="00BC2B56"/>
    <w:rsid w:val="00BC42A1"/>
    <w:rsid w:val="00BC4A4F"/>
    <w:rsid w:val="00C200F3"/>
    <w:rsid w:val="00C7100A"/>
    <w:rsid w:val="00C77D90"/>
    <w:rsid w:val="00C817AA"/>
    <w:rsid w:val="00C97F7E"/>
    <w:rsid w:val="00CB721E"/>
    <w:rsid w:val="00CC1D55"/>
    <w:rsid w:val="00CE7A5D"/>
    <w:rsid w:val="00D06BA1"/>
    <w:rsid w:val="00D45C1B"/>
    <w:rsid w:val="00D71D2C"/>
    <w:rsid w:val="00D95907"/>
    <w:rsid w:val="00DA56CE"/>
    <w:rsid w:val="00DB24BB"/>
    <w:rsid w:val="00DF17F3"/>
    <w:rsid w:val="00DF3FB4"/>
    <w:rsid w:val="00E01F51"/>
    <w:rsid w:val="00E20E5D"/>
    <w:rsid w:val="00E3679C"/>
    <w:rsid w:val="00EA3E9E"/>
    <w:rsid w:val="00EE237C"/>
    <w:rsid w:val="00EE45EE"/>
    <w:rsid w:val="00F309EE"/>
    <w:rsid w:val="00F823F6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4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4F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4F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4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4F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F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awuh.cz/obchod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app/zakony/zakonInfo.jsp?idBiblio=62694&amp;fulltext=&amp;nr=262~2F2006&amp;part=&amp;name=&amp;rpp=10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portal.gov.cz/app/zakony/zakonPar.jsp?page=0&amp;idBiblio=36808&amp;recShow=3&amp;fulltext=&amp;nr=133~2F1985&amp;part=&amp;name=&amp;rpp=10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36CF7-6A8A-42E6-84E0-628B893B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1519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11</cp:revision>
  <cp:lastPrinted>2016-07-09T11:52:00Z</cp:lastPrinted>
  <dcterms:created xsi:type="dcterms:W3CDTF">2016-07-10T08:12:00Z</dcterms:created>
  <dcterms:modified xsi:type="dcterms:W3CDTF">2018-11-27T12:50:00Z</dcterms:modified>
</cp:coreProperties>
</file>