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2"/>
      </w:tblGrid>
      <w:tr w:rsidR="00C40428" w:rsidRPr="00C40428" w:rsidTr="00C40428">
        <w:trPr>
          <w:trHeight w:val="15"/>
        </w:trPr>
        <w:tc>
          <w:tcPr>
            <w:tcW w:w="5000" w:type="pct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Karta hodnocení rizik práce</w:t>
            </w:r>
          </w:p>
        </w:tc>
      </w:tr>
      <w:tr w:rsidR="00C40428" w:rsidRPr="00C40428" w:rsidTr="00C40428">
        <w:trPr>
          <w:trHeight w:val="25"/>
        </w:trPr>
        <w:tc>
          <w:tcPr>
            <w:tcW w:w="5000" w:type="pct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4042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Administrativní práce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"/>
        <w:gridCol w:w="682"/>
        <w:gridCol w:w="512"/>
        <w:gridCol w:w="492"/>
        <w:gridCol w:w="666"/>
        <w:gridCol w:w="609"/>
        <w:gridCol w:w="639"/>
        <w:gridCol w:w="617"/>
        <w:gridCol w:w="797"/>
        <w:gridCol w:w="625"/>
        <w:gridCol w:w="610"/>
        <w:gridCol w:w="656"/>
        <w:gridCol w:w="686"/>
        <w:gridCol w:w="957"/>
      </w:tblGrid>
      <w:tr w:rsidR="00C40428" w:rsidRPr="00C40428" w:rsidTr="000A3C24">
        <w:trPr>
          <w:trHeight w:val="15"/>
        </w:trPr>
        <w:tc>
          <w:tcPr>
            <w:tcW w:w="0" w:type="auto"/>
            <w:gridSpan w:val="14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A. Kategorizace prací, dle § 37, zákona č. 258/2000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0A3C24" w:rsidRPr="00A421BE" w:rsidTr="00353290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CH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H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V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FZ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PP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ZT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proofErr w:type="spell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ZCh</w:t>
            </w:r>
            <w:proofErr w:type="spellEnd"/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PZ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ZZ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BČ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proofErr w:type="spell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ZTl</w:t>
            </w:r>
            <w:proofErr w:type="spellEnd"/>
          </w:p>
        </w:tc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Celk</w:t>
            </w:r>
            <w:proofErr w:type="spellEnd"/>
            <w:r w:rsidRPr="00A421BE">
              <w:rPr>
                <w:rStyle w:val="Znakapoznpodarou"/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footnoteReference w:id="1"/>
            </w:r>
          </w:p>
        </w:tc>
      </w:tr>
      <w:tr w:rsidR="000A3C24" w:rsidRPr="00A421BE" w:rsidTr="00353290">
        <w:trPr>
          <w:trHeight w:val="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896A9E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1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tbl>
      <w:tblPr>
        <w:tblW w:w="902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  <w:insideV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C40428" w:rsidRPr="00C40428" w:rsidTr="000A3C24">
        <w:trPr>
          <w:trHeight w:val="15"/>
        </w:trPr>
        <w:tc>
          <w:tcPr>
            <w:tcW w:w="0" w:type="auto"/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B. Rizika ohrožení zdraví, dle části 2, přílohy II, vyhlášky č. 79/2013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, bodu:</w:t>
            </w:r>
          </w:p>
        </w:tc>
      </w:tr>
      <w:tr w:rsidR="00C40428" w:rsidRPr="00C40428" w:rsidTr="00C40428">
        <w:trPr>
          <w:trHeight w:val="1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Součástí administrativních prací není riziko ohrožení zdraví.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7507"/>
      </w:tblGrid>
      <w:tr w:rsidR="00C40428" w:rsidRPr="00C40428" w:rsidTr="000A3C24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C. </w:t>
            </w:r>
            <w:r w:rsidR="00802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8028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eriody pracovnělékařských </w:t>
            </w:r>
            <w:r w:rsidR="00802811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</w:t>
            </w:r>
            <w:r w:rsidR="0080281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cs-CZ"/>
              </w:rPr>
              <w:t>rohlídek</w:t>
            </w: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, dle vyhlášky č. 79/2013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C40428" w:rsidRPr="00C40428" w:rsidTr="00C40428">
        <w:tc>
          <w:tcPr>
            <w:tcW w:w="858" w:type="pct"/>
            <w:tcBorders>
              <w:left w:val="single" w:sz="4" w:space="0" w:color="808080" w:themeColor="background1" w:themeShade="80"/>
              <w:bottom w:val="single" w:sz="4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Do </w:t>
            </w:r>
            <w:proofErr w:type="gram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50ti</w:t>
            </w:r>
            <w:proofErr w:type="gramEnd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let věku:</w:t>
            </w:r>
          </w:p>
        </w:tc>
        <w:tc>
          <w:tcPr>
            <w:tcW w:w="4142" w:type="pct"/>
            <w:tcBorders>
              <w:bottom w:val="single" w:sz="4" w:space="0" w:color="999999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x 6 let</w:t>
            </w:r>
          </w:p>
        </w:tc>
      </w:tr>
      <w:tr w:rsidR="00C40428" w:rsidRPr="00C40428" w:rsidTr="00C40428">
        <w:tc>
          <w:tcPr>
            <w:tcW w:w="858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Nad 50 let věku:</w:t>
            </w:r>
          </w:p>
        </w:tc>
        <w:tc>
          <w:tcPr>
            <w:tcW w:w="4142" w:type="pct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1 x 4 roky</w:t>
            </w:r>
          </w:p>
        </w:tc>
      </w:tr>
    </w:tbl>
    <w:p w:rsidR="00C40428" w:rsidRPr="00C40428" w:rsidRDefault="00C40428" w:rsidP="00C40428">
      <w:pPr>
        <w:spacing w:line="240" w:lineRule="auto"/>
        <w:rPr>
          <w:rFonts w:asciiTheme="majorHAnsi" w:eastAsia="Times New Roman" w:hAnsiTheme="majorHAnsi" w:cstheme="majorHAnsi"/>
          <w:sz w:val="20"/>
          <w:szCs w:val="20"/>
          <w:lang w:eastAsia="cs-CZ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5"/>
        <w:gridCol w:w="5537"/>
      </w:tblGrid>
      <w:tr w:rsidR="00C40428" w:rsidRPr="00C40428" w:rsidTr="000A3C24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D. Osobní ochranné pracovní prostředky, dle odst. (5), § 104, zákona č. 262/2006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C40428" w:rsidRPr="00C40428" w:rsidTr="00C40428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K výkonu administrativních prací nejsou standardně vyžadovány osobní ochranné pracovní prostředky.</w:t>
            </w:r>
          </w:p>
        </w:tc>
      </w:tr>
      <w:tr w:rsidR="00C40428" w:rsidRPr="00C40428" w:rsidTr="00C40428">
        <w:trPr>
          <w:trHeight w:val="25"/>
        </w:trPr>
        <w:tc>
          <w:tcPr>
            <w:tcW w:w="1945" w:type="pct"/>
            <w:tcBorders>
              <w:left w:val="single" w:sz="4" w:space="0" w:color="808080" w:themeColor="background1" w:themeShade="80"/>
              <w:bottom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Druh prostředku</w:t>
            </w:r>
          </w:p>
        </w:tc>
        <w:tc>
          <w:tcPr>
            <w:tcW w:w="3055" w:type="pct"/>
            <w:tcBorders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Způsob a podmínky použití</w:t>
            </w:r>
          </w:p>
        </w:tc>
      </w:tr>
      <w:tr w:rsidR="00C40428" w:rsidRPr="00C40428" w:rsidTr="00C40428">
        <w:trPr>
          <w:trHeight w:val="182"/>
        </w:trPr>
        <w:tc>
          <w:tcPr>
            <w:tcW w:w="1945" w:type="pct"/>
            <w:tcBorders>
              <w:top w:val="single" w:sz="4" w:space="0" w:color="999999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055" w:type="pct"/>
            <w:tcBorders>
              <w:top w:val="single" w:sz="4" w:space="0" w:color="999999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C40428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</w:tbl>
    <w:p w:rsidR="00896A9E" w:rsidRDefault="00896A9E" w:rsidP="00C40428">
      <w:pPr>
        <w:pStyle w:val="Bezmezer"/>
        <w:rPr>
          <w:lang w:eastAsia="cs-CZ"/>
        </w:rPr>
      </w:pPr>
    </w:p>
    <w:p w:rsidR="00896A9E" w:rsidRDefault="00896A9E">
      <w:pPr>
        <w:spacing w:after="160"/>
        <w:rPr>
          <w:lang w:eastAsia="cs-CZ"/>
        </w:rPr>
      </w:pPr>
      <w:r>
        <w:rPr>
          <w:lang w:eastAsia="cs-CZ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6369"/>
      </w:tblGrid>
      <w:tr w:rsidR="00C40428" w:rsidRPr="00A421BE" w:rsidTr="000A3C24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000000"/>
            </w:tcBorders>
            <w:shd w:val="clear" w:color="auto" w:fill="BDD6EE" w:themeFill="accent5" w:themeFillTint="6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 xml:space="preserve">E. Hodnocení rizik práce, dle § 102, zákona č. 262/2006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</w:p>
        </w:tc>
      </w:tr>
      <w:tr w:rsidR="00C40428" w:rsidRPr="00A421BE" w:rsidTr="00C40428">
        <w:trPr>
          <w:trHeight w:val="15"/>
        </w:trPr>
        <w:tc>
          <w:tcPr>
            <w:tcW w:w="5000" w:type="pct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8" w:space="0" w:color="000000"/>
            </w:tcBorders>
            <w:shd w:val="clear" w:color="auto" w:fill="CC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2E2EDF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FFFFFF"/>
                <w:sz w:val="20"/>
                <w:szCs w:val="20"/>
                <w:lang w:eastAsia="cs-CZ"/>
              </w:rPr>
              <w:t>E1. Rizika nepřijatelná</w:t>
            </w:r>
          </w:p>
        </w:tc>
      </w:tr>
      <w:tr w:rsidR="00C40428" w:rsidRPr="00A421BE" w:rsidTr="00896A9E">
        <w:tc>
          <w:tcPr>
            <w:tcW w:w="1484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Popis rizika</w:t>
            </w:r>
          </w:p>
        </w:tc>
        <w:tc>
          <w:tcPr>
            <w:tcW w:w="3516" w:type="pct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0428" w:rsidRPr="00C40428" w:rsidRDefault="00C40428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Navržená opatření k předcházení rizika</w:t>
            </w:r>
          </w:p>
        </w:tc>
      </w:tr>
    </w:tbl>
    <w:p w:rsidR="00C40428" w:rsidRPr="00A421BE" w:rsidRDefault="00C40428">
      <w:pPr>
        <w:rPr>
          <w:sz w:val="20"/>
          <w:szCs w:val="20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0A3C24" w:rsidRPr="00A421BE" w:rsidTr="000A3C24">
        <w:trPr>
          <w:cantSplit/>
          <w:trHeight w:val="15"/>
        </w:trPr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999999"/>
              <w:right w:val="single" w:sz="4" w:space="0" w:color="808080" w:themeColor="background1" w:themeShade="8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C24" w:rsidRPr="00C40428" w:rsidRDefault="000A3C24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Práce v sedě u PC</w:t>
            </w:r>
          </w:p>
        </w:tc>
      </w:tr>
      <w:tr w:rsidR="000A3C24" w:rsidRPr="00A421BE" w:rsidTr="00AA3275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999999"/>
          </w:tblBorders>
        </w:tblPrEx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 xml:space="preserve">Riziko poškození zdraví vlivem práce u PC </w:t>
            </w:r>
            <w:r w:rsidRPr="00C40428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cs-CZ"/>
              </w:rPr>
              <w:t>(práce v sedu)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*Vybavit pracovníky vhodnými ergonomickými kancelářskými židlemi a dalšími prostředky </w:t>
            </w:r>
            <w:r w:rsidRPr="00C40428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(stůl, klávesnice, myš apod.)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*Při práci vsedě a u PC dodržovat základní ergonomické zásady:</w:t>
            </w:r>
          </w:p>
          <w:p w:rsidR="000A3C24" w:rsidRPr="00C40428" w:rsidRDefault="000A3C24" w:rsidP="000A3C2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Sedět</w:t>
            </w:r>
            <w:proofErr w:type="gramEnd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pokud možno v pravých úhlech </w:t>
            </w:r>
            <w:r w:rsidRPr="00C40428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(mít pravý úhel v kotníku, koleni, pase i loktech);</w:t>
            </w:r>
          </w:p>
          <w:p w:rsidR="000A3C24" w:rsidRPr="00C40428" w:rsidRDefault="000A3C24" w:rsidP="000A3C2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Sedět na celém sedáku židle, záda mít podepřena zádovou opěrkou </w:t>
            </w:r>
            <w:r w:rsidRPr="00C40428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(nesedět příliš vepředu, neležet na židli, nesedět tak, aby opěrka nepodepírala záda);</w:t>
            </w:r>
          </w:p>
          <w:p w:rsidR="000A3C24" w:rsidRPr="00C40428" w:rsidRDefault="000A3C24" w:rsidP="000A3C2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Nastavit si správnou výšku sedáku tak, aby chodidla celou plochou dosedla na podlahu a nohy nebyly příliš nadlehčeny </w:t>
            </w:r>
            <w:r w:rsidRPr="00C40428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(útlak na spodní stranu stehen)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nebo naopak;</w:t>
            </w:r>
          </w:p>
          <w:p w:rsidR="000A3C24" w:rsidRPr="00C40428" w:rsidRDefault="000A3C24" w:rsidP="000A3C2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Horní hranu monitoru mít přibližně ve výšce očí;</w:t>
            </w:r>
          </w:p>
          <w:p w:rsidR="000A3C24" w:rsidRPr="00C40428" w:rsidRDefault="000A3C24" w:rsidP="000A3C2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Oči mít od monitoru alespoň 50 cm;</w:t>
            </w:r>
          </w:p>
          <w:p w:rsidR="000A3C24" w:rsidRPr="00C40428" w:rsidRDefault="000A3C24" w:rsidP="000A3C24">
            <w:pPr>
              <w:numPr>
                <w:ilvl w:val="0"/>
                <w:numId w:val="1"/>
              </w:numPr>
              <w:spacing w:line="240" w:lineRule="auto"/>
              <w:textAlignment w:val="baseline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Nesedět v “pololeže”, nesedět s nohou přes nohu, nesedět </w:t>
            </w:r>
            <w:r w:rsidR="00A27BC6"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shrbeně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noProof/>
                <w:color w:val="000000"/>
                <w:sz w:val="20"/>
                <w:szCs w:val="20"/>
                <w:lang w:eastAsia="cs-CZ"/>
              </w:rPr>
              <w:drawing>
                <wp:inline distT="0" distB="0" distL="0" distR="0" wp14:anchorId="11B3147A" wp14:editId="1E254BDD">
                  <wp:extent cx="2867025" cy="1676400"/>
                  <wp:effectExtent l="0" t="0" r="9525" b="0"/>
                  <wp:docPr id="1" name="Obrázek 1" descr="https://lh6.googleusercontent.com/ooM-GQQam4MX9QKk0Npf395DzjZlR3uPLBlGkwofV25ZCv4UdqKuZjU3moD08Afl9QeimbEnCJVRHSg38WbvCQAhqn2oowQWRgmN3TpmiOIzIeaMhdxqZK9_sveSWdtawbnYBs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6.googleusercontent.com/ooM-GQQam4MX9QKk0Npf395DzjZlR3uPLBlGkwofV25ZCv4UdqKuZjU3moD08Afl9QeimbEnCJVRHSg38WbvCQAhqn2oowQWRgmN3TpmiOIzIeaMhdxqZK9_sveSWdtawbnYBs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*Přerušovat práci s PC alespoň každé dvě hodiny od započetí práce bezpečnostní přestávkou v trvání </w:t>
            </w:r>
            <w:proofErr w:type="gram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 – 10</w:t>
            </w:r>
            <w:proofErr w:type="gramEnd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min. </w:t>
            </w:r>
          </w:p>
          <w:p w:rsidR="000A3C24" w:rsidRPr="00C40428" w:rsidRDefault="000A3C24" w:rsidP="000A3C24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Během přestávky nechat odpočinout očím a provést protahovací a uvolňovací cviky, viz např. obrázky níže:</w:t>
            </w:r>
          </w:p>
        </w:tc>
      </w:tr>
      <w:tr w:rsidR="000A3C24" w:rsidRPr="00C40428" w:rsidTr="001C02DB">
        <w:trPr>
          <w:cantSplit/>
          <w:trHeight w:val="380"/>
        </w:trPr>
        <w:tc>
          <w:tcPr>
            <w:tcW w:w="0" w:type="auto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3C24" w:rsidRPr="00C40428" w:rsidRDefault="000A3C24" w:rsidP="000A3C2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noProof/>
                <w:color w:val="990033"/>
                <w:sz w:val="12"/>
                <w:szCs w:val="12"/>
                <w:lang w:eastAsia="cs-CZ"/>
              </w:rPr>
              <w:lastRenderedPageBreak/>
              <w:drawing>
                <wp:inline distT="0" distB="0" distL="0" distR="0" wp14:anchorId="721A1F10" wp14:editId="6F26A0B2">
                  <wp:extent cx="1133475" cy="1133475"/>
                  <wp:effectExtent l="0" t="0" r="9525" b="9525"/>
                  <wp:docPr id="11" name="Obrázek 11" descr="https://lh5.googleusercontent.com/IiOcyARS9_AnIxPRbQauj1JHLqoNYKxx3NSsRSAZL6LO2F1h_axhq2basOKP5nf0xeIj0ELlryiAikLFW19u1famNoB74ttXUyRegD7tfX-oN2aSwngYlelO_y7IKnv-0CYulg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5.googleusercontent.com/IiOcyARS9_AnIxPRbQauj1JHLqoNYKxx3NSsRSAZL6LO2F1h_axhq2basOKP5nf0xeIj0ELlryiAikLFW19u1famNoB74ttXUyRegD7tfX-oN2aSwngYlelO_y7IKnv-0CYulg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428">
              <w:rPr>
                <w:rFonts w:asciiTheme="majorHAnsi" w:eastAsia="Times New Roman" w:hAnsiTheme="majorHAnsi" w:cstheme="majorHAnsi"/>
                <w:noProof/>
                <w:color w:val="990033"/>
                <w:sz w:val="12"/>
                <w:szCs w:val="12"/>
                <w:lang w:eastAsia="cs-CZ"/>
              </w:rPr>
              <w:drawing>
                <wp:inline distT="0" distB="0" distL="0" distR="0" wp14:anchorId="37EFBE7B" wp14:editId="036B4B3B">
                  <wp:extent cx="1609725" cy="1162050"/>
                  <wp:effectExtent l="0" t="0" r="9525" b="0"/>
                  <wp:docPr id="12" name="Obrázek 12" descr="https://lh6.googleusercontent.com/qmv4zoA4ZwR4-7yuUs-RBNCPKAEv7YYfOPggkN8mLO3Av4-6gXHzrJOT_XIMx8m-I3_PbXM7vgtYSWE2vB0Boy_JkX7-S9dTO1Bo-W2bytJ60WTPprceQNaDqNKm0NCaDCZd4lx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qmv4zoA4ZwR4-7yuUs-RBNCPKAEv7YYfOPggkN8mLO3Av4-6gXHzrJOT_XIMx8m-I3_PbXM7vgtYSWE2vB0Boy_JkX7-S9dTO1Bo-W2bytJ60WTPprceQNaDqNKm0NCaDCZd4lx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428">
              <w:rPr>
                <w:rFonts w:asciiTheme="majorHAnsi" w:eastAsia="Times New Roman" w:hAnsiTheme="majorHAnsi" w:cstheme="majorHAnsi"/>
                <w:noProof/>
                <w:color w:val="990033"/>
                <w:sz w:val="12"/>
                <w:szCs w:val="12"/>
                <w:lang w:eastAsia="cs-CZ"/>
              </w:rPr>
              <w:drawing>
                <wp:inline distT="0" distB="0" distL="0" distR="0" wp14:anchorId="4631C20B" wp14:editId="7DEDEEE4">
                  <wp:extent cx="2314575" cy="1428750"/>
                  <wp:effectExtent l="0" t="0" r="9525" b="0"/>
                  <wp:docPr id="13" name="Obrázek 13" descr="https://lh3.googleusercontent.com/ZwdX_rqaLOzMbCZ5UFNspDoTdZ_k1q1EGf8X8GzfPqCSvGJ4AjBo1jggO6NlvvQXO8xNYU4dRpMFKyl7oLX9mHwex1UBCBKeHF8NgLQbq8IUpn--fM0rTyDdvXEBndVqznvmZY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3.googleusercontent.com/ZwdX_rqaLOzMbCZ5UFNspDoTdZ_k1q1EGf8X8GzfPqCSvGJ4AjBo1jggO6NlvvQXO8xNYU4dRpMFKyl7oLX9mHwex1UBCBKeHF8NgLQbq8IUpn--fM0rTyDdvXEBndVqznvmZY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C24" w:rsidRPr="00C40428" w:rsidRDefault="000A3C24" w:rsidP="000A3C2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noProof/>
                <w:color w:val="990033"/>
                <w:sz w:val="12"/>
                <w:szCs w:val="12"/>
                <w:lang w:eastAsia="cs-CZ"/>
              </w:rPr>
              <w:drawing>
                <wp:inline distT="0" distB="0" distL="0" distR="0" wp14:anchorId="2BF2AB4C" wp14:editId="17A24FDD">
                  <wp:extent cx="1971675" cy="1257300"/>
                  <wp:effectExtent l="0" t="0" r="9525" b="0"/>
                  <wp:docPr id="14" name="Obrázek 14" descr="https://lh5.googleusercontent.com/_4U975C0InvSL_h6uavDfuCnnj55IFvcIV_MkPLhobvYjh4-vszeBp04wUt5tWs2Af9TuBZC4jUMPKcZ2iym2zKRo72TdYoEZccNw5F5fqaT_vdA8Tff_AKyUuFhCc2EEB6N3V-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5.googleusercontent.com/_4U975C0InvSL_h6uavDfuCnnj55IFvcIV_MkPLhobvYjh4-vszeBp04wUt5tWs2Af9TuBZC4jUMPKcZ2iym2zKRo72TdYoEZccNw5F5fqaT_vdA8Tff_AKyUuFhCc2EEB6N3V-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0428">
              <w:rPr>
                <w:rFonts w:asciiTheme="majorHAnsi" w:eastAsia="Times New Roman" w:hAnsiTheme="majorHAnsi" w:cstheme="majorHAnsi"/>
                <w:noProof/>
                <w:color w:val="990033"/>
                <w:sz w:val="12"/>
                <w:szCs w:val="12"/>
                <w:lang w:eastAsia="cs-CZ"/>
              </w:rPr>
              <w:drawing>
                <wp:inline distT="0" distB="0" distL="0" distR="0" wp14:anchorId="48DE8F2D" wp14:editId="1D278C8A">
                  <wp:extent cx="2457450" cy="1323975"/>
                  <wp:effectExtent l="0" t="0" r="0" b="9525"/>
                  <wp:docPr id="15" name="Obrázek 15" descr="https://lh3.googleusercontent.com/JqbqOCtBsgHCfVqDE-77gGSRv8B1Vm5Xn5cXZVjGWp-vIDEM07IG6yo6islA2sdLClougkCIxoB9zd_lLgO6WpBVEey0qo0vaApthjBn_PfRvO5vjYN2WH6qzQ65RSJXYXLnVq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JqbqOCtBsgHCfVqDE-77gGSRv8B1Vm5Xn5cXZVjGWp-vIDEM07IG6yo6islA2sdLClougkCIxoB9zd_lLgO6WpBVEey0qo0vaApthjBn_PfRvO5vjYN2WH6qzQ65RSJXYXLnVq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C24" w:rsidRPr="00C40428" w:rsidRDefault="000A3C24" w:rsidP="000A3C24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noProof/>
                <w:color w:val="990033"/>
                <w:sz w:val="12"/>
                <w:szCs w:val="12"/>
                <w:lang w:eastAsia="cs-CZ"/>
              </w:rPr>
              <w:drawing>
                <wp:inline distT="0" distB="0" distL="0" distR="0" wp14:anchorId="11473FC9" wp14:editId="7566B797">
                  <wp:extent cx="1352550" cy="1343025"/>
                  <wp:effectExtent l="0" t="0" r="0" b="9525"/>
                  <wp:docPr id="16" name="Obrázek 16" descr="https://lh3.googleusercontent.com/M73pzzgrNFaT-VmFvjUbGbKX761sm9s7Nlbd5hzHccGg8PjBFrMOpJ3vr98xhfZH5_sZQ8cQnYX-HwV0iS_zwpAlH7kKueXh-iOuCoeKDXoNSlcADvOYIzuCAcWKivrvNpA0MDb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M73pzzgrNFaT-VmFvjUbGbKX761sm9s7Nlbd5hzHccGg8PjBFrMOpJ3vr98xhfZH5_sZQ8cQnYX-HwV0iS_zwpAlH7kKueXh-iOuCoeKDXoNSlcADvOYIzuCAcWKivrvNpA0MDb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4F2A" w:rsidRDefault="00F74F2A" w:rsidP="00896A9E">
      <w:pPr>
        <w:pStyle w:val="Bezmezer"/>
        <w:rPr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  <w:lang w:eastAsia="cs-CZ"/>
              </w:rPr>
              <w:t>Práce v sedě u PC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poškození zraku vlivem práce u PC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*Pracovní dobu přerušovat každé dvě hodiny od započetí práce bezpečnostní přestávkou v trvání </w:t>
            </w:r>
            <w:proofErr w:type="gram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5 – 10</w:t>
            </w:r>
            <w:proofErr w:type="gramEnd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min.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*Během přestávky nechat odpočinout očím. Např. je na chvíli zavřít nebo pohledem do zeleně.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 xml:space="preserve">Riziko poškození zdraví vlivem práce s klávesnicí 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cs-CZ"/>
              </w:rPr>
              <w:t>(např. syndrom karpálního tunelu apod.)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*Vybavit zaměstnance vhodnou ergonomickou klávesnici.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*Nepoužívat podpěrné nožky klávesnice, které klávesnici nakloní směrem k uživateli a způsobí zalomení zápěstí.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*Mít dostatečně prostorný stůl, který umožní vhodnou polohu klávesnice a její pohodlnou obsluhu včetně podepření rukou.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 xml:space="preserve">Riziko poškození zdraví vlivem práce s myší 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i/>
                <w:iCs/>
                <w:color w:val="C00000"/>
                <w:sz w:val="20"/>
                <w:szCs w:val="20"/>
                <w:lang w:eastAsia="cs-CZ"/>
              </w:rPr>
              <w:t>(např. syndrom karpálního tunelu apod.)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*Vybavit zaměstnance vhodnou ergonomickou myší.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*Klasické myší nahrazovat vertikálními myšmi.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*Zajistit, aby měli zaměstnanci dostatečně prostorný stůl pro pohodlnou obsluhu myši.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*Vybavit zaměstnance vhodnými podložkami pod myš s opěrkou zápěstí.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*Provádět pravidelné cvičení zápěstí, k předcházení syndromu karpálního tunelu.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lastRenderedPageBreak/>
              <w:t>Riziko zakopnutí o prodlužovací nebo přívodní kabel (zejména PC)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*Přívodní a prodlužovací kabely od PC a jeho peripetií mít pod stolem a v jeho okolí uspořádány a organizovány tak, aby nebyly zdrojem rizika zakopnutí nebo zamotání se do nich a následného pádu a tím současně, aby nedocházelo k poškozování těchto vodičů mechanickým působením nohou pracovníků.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*Prodlužovací kabely vést vždy tak, aby nebyly překážkou chůzi osob, aby </w:t>
            </w:r>
            <w:proofErr w:type="gramStart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byly</w:t>
            </w:r>
            <w:proofErr w:type="gramEnd"/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pokud možno rovné, nepřekroucené a nikdy nevysely přes cestu. 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vzniku požáru PC a následných úrazů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 provádění pravidelné a včasné údržby a čištění používaných PC, zejména pokud jsou umístěny na zemi, pod stolem a jsou tak silně ohroženy prachem.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časté samovolné restartování nebo vypínání se PC může signalizovat jeho přehřívání, jehož příčinou může být právě nadbytek prachu uvnitř PC)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úrazu elektrickým proudem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*Nerozdělávat ochranné kryty elektrických zařízení, včetně krytů PC, jeho peripetií, skartovačky, stropních svítidel apod.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*Bez odborné způsobilosti v elektrotechnice </w:t>
            </w:r>
            <w:r w:rsidRPr="00C4042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 xml:space="preserve">(alespoň dle § 5, vyhlášky č. 50/1978 Sb., </w:t>
            </w:r>
            <w:proofErr w:type="spellStart"/>
            <w:r w:rsidRPr="00C4042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úz</w:t>
            </w:r>
            <w:proofErr w:type="spellEnd"/>
            <w:r w:rsidRPr="00C4042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neprovádět práce na elektrických zařízeních, včetně např. výměny hardware u PC.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*Údržbu zařízení </w:t>
            </w:r>
            <w:r w:rsidRPr="00C4042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tiskárna, skartovačka, kávovar apod.)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, provádět vždy v souladu s pokyny výrobce </w:t>
            </w:r>
            <w:r w:rsidRPr="00C40428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(dle návodu výrobce)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896A9E" w:rsidRPr="00A421BE" w:rsidRDefault="00896A9E" w:rsidP="00896A9E">
      <w:pPr>
        <w:pStyle w:val="Bezmezer"/>
        <w:rPr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421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Obsluha skartovačky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vzniku úrazu při obsluze skartovačky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*Seznámit zaměstnance obsluhující skartovačku s návodem k obsluze výrobce.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*Dodržovat pokyny uvedené v návodu výrobce</w:t>
            </w:r>
            <w:r w:rsidR="002546E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(neobsluhovat skartovačku s vázankou, dlouhými rukávy, řetízky apod.)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*Neprovádět skartaci s volnými částmi oděvu </w:t>
            </w:r>
            <w:r w:rsidRPr="00C40428">
              <w:rPr>
                <w:rFonts w:asciiTheme="majorHAnsi" w:eastAsia="Times New Roman" w:hAnsiTheme="majorHAnsi" w:cstheme="majorHAnsi"/>
                <w:i/>
                <w:iCs/>
                <w:color w:val="000000"/>
                <w:sz w:val="20"/>
                <w:szCs w:val="20"/>
                <w:lang w:eastAsia="cs-CZ"/>
              </w:rPr>
              <w:t>(např. volné rukávy, vázanka, halenka apod.)</w:t>
            </w: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nebo s volnými dlouhými vlasy.</w:t>
            </w:r>
          </w:p>
        </w:tc>
      </w:tr>
    </w:tbl>
    <w:p w:rsidR="00896A9E" w:rsidRPr="00A421BE" w:rsidRDefault="00896A9E" w:rsidP="00896A9E">
      <w:pPr>
        <w:pStyle w:val="Bezmezer"/>
        <w:rPr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421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Obsluha tiskárny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úrazu elektrickým proudem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*Seznámit zaměstnance obsluhující tiskárny s návodem k obsluze výrobce.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*Dodržovat pokyny uvedené v návodu výrobce.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*Zásahy a údržbu tiskárny provádět vždy při vypnutém stavu a nejdříve po odpojení tiskárny od zdroje elektrického proudu. Výjimkou je postup při údržbě tiskárny prováděný v souladu s pokyny výrobce.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*Vybavit zaměstnance, kteří provádějí výměnu náplní tiskáren, pracovními ochrannými rukavicemi proti chemickým rizikům. </w:t>
            </w:r>
          </w:p>
          <w:p w:rsidR="00896A9E" w:rsidRPr="00C40428" w:rsidRDefault="00896A9E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C40428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*Zajistit, aby při výměně náplní tiskáren zaměstnanci používali stanovené pracovní rukavice.</w:t>
            </w:r>
          </w:p>
        </w:tc>
      </w:tr>
    </w:tbl>
    <w:p w:rsidR="00896A9E" w:rsidRPr="00A421BE" w:rsidRDefault="00896A9E" w:rsidP="00896A9E">
      <w:pPr>
        <w:pStyle w:val="Bezmezer"/>
        <w:rPr>
          <w:sz w:val="20"/>
          <w:szCs w:val="20"/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421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Obsluha rychlovarné konvice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A421BE" w:rsidRDefault="00896A9E" w:rsidP="00AA3275">
            <w:pPr>
              <w:pStyle w:val="Bezmezer"/>
              <w:rPr>
                <w:rFonts w:asciiTheme="majorHAnsi" w:hAnsiTheme="majorHAnsi" w:cstheme="majorHAnsi"/>
                <w:color w:val="C00000"/>
                <w:sz w:val="20"/>
                <w:szCs w:val="20"/>
              </w:rPr>
            </w:pPr>
            <w:r w:rsidRPr="00A421BE">
              <w:rPr>
                <w:rFonts w:asciiTheme="majorHAnsi" w:hAnsiTheme="majorHAnsi" w:cstheme="majorHAnsi"/>
                <w:color w:val="C00000"/>
                <w:sz w:val="20"/>
                <w:szCs w:val="20"/>
              </w:rPr>
              <w:t>Riziko vzniku požáru rychlovarné konvice a následných úrazů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A421BE" w:rsidRDefault="00896A9E" w:rsidP="00AA3275">
            <w:pPr>
              <w:pStyle w:val="Bezmez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*Seznámit zaměstnance s návodem k obsluze rychlovarné konvice.</w:t>
            </w:r>
          </w:p>
          <w:p w:rsidR="00896A9E" w:rsidRPr="00A421BE" w:rsidRDefault="00896A9E" w:rsidP="00AA3275">
            <w:pPr>
              <w:pStyle w:val="Bezmez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*Dodržovat pokyny uvedené v návodu výrobce.</w:t>
            </w:r>
          </w:p>
          <w:p w:rsidR="00896A9E" w:rsidRPr="00A421BE" w:rsidRDefault="00896A9E" w:rsidP="00AA3275">
            <w:pPr>
              <w:pStyle w:val="Bezmezer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 použití rychlovarnou konvici odpojit od zdroje el. proudu.</w:t>
            </w:r>
          </w:p>
        </w:tc>
      </w:tr>
    </w:tbl>
    <w:p w:rsidR="00A421BE" w:rsidRDefault="00A421BE" w:rsidP="00896A9E">
      <w:pPr>
        <w:pStyle w:val="Bezmezer"/>
        <w:rPr>
          <w:sz w:val="20"/>
          <w:szCs w:val="20"/>
          <w:lang w:eastAsia="cs-CZ"/>
        </w:rPr>
      </w:pPr>
    </w:p>
    <w:p w:rsidR="00353290" w:rsidRDefault="00353290">
      <w:pPr>
        <w:spacing w:after="160"/>
        <w:rPr>
          <w:sz w:val="20"/>
          <w:szCs w:val="20"/>
          <w:lang w:eastAsia="cs-CZ"/>
        </w:rPr>
      </w:pPr>
      <w:r>
        <w:rPr>
          <w:sz w:val="20"/>
          <w:szCs w:val="20"/>
          <w:lang w:eastAsia="cs-CZ"/>
        </w:rPr>
        <w:br w:type="page"/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353290" w:rsidRPr="00C40428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3290" w:rsidRPr="00C40428" w:rsidRDefault="00353290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Kouření a užívání jiných návykových látek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Pr="00C40428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 xml:space="preserve">Požární rizika plynoucí z kouření 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Pr="00C40428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*Stanovit zaměstnancům – kuřákům – vhodné místo ke kouření a toto vybavit vhodným popelníkem. Technické provedení popelníku musí zabránit, aby se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žhavíky</w:t>
            </w:r>
            <w:proofErr w:type="spellEnd"/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nebo i celé nedopalky z popelníku dostali ven, např. poryvem větru.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Rizika plynoucí z kouření pro nekuřáky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*Místo určené ke kouření umístit tak, aby se v blízkosti tohoto místa nevyskytovali nekuřáci a aby tito nemohli být vystaveni účinkům kouření.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Rizika plynoucí z kouření pro kuřáky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2676525" y="28479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937260" cy="1323975"/>
                  <wp:effectExtent l="0" t="0" r="0" b="0"/>
                  <wp:wrapSquare wrapText="bothSides"/>
                  <wp:docPr id="21" name="Obrázek 21" descr="VÃ½sledek obrÃ¡zku pro mÃ­sto urÄenÃ© ke kouÅenÃ­ tabul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Ã½sledek obrÃ¡zku pro mÃ­sto urÄenÃ© ke kouÅenÃ­ tabul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744" cy="13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*Označit místo určené ke kouření bezpečnostní tabulkou: „Kouření povoleno. Kouření vážně škodí Vám i lidem ve vašem okolí“, viz obrázek.</w:t>
            </w:r>
          </w:p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</w:p>
          <w:p w:rsidR="00353290" w:rsidRDefault="00353290" w:rsidP="00AA3275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*Vytvářet takovou firemní kulturu, aby si kuřáci uvědomovali svou závislost a zdravotní rizika z ní plynoucí a byli tlačeni k tomu, přestat kouřit. </w:t>
            </w:r>
          </w:p>
        </w:tc>
      </w:tr>
      <w:tr w:rsidR="00353290" w:rsidRPr="00C40428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353290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Rizika plynoucí z alkoholu a jiných návykových látek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3290" w:rsidRDefault="00353290" w:rsidP="0035329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*Vytvořit ve firmě takové podmínky, aby v případě potřeby bylo možné provést orientační dechovou zkoušku na přítomnost alkoholu v dechu zaměstnance, případně podezřelou osobu transportovat na odborné vyšetření </w:t>
            </w:r>
            <w:r w:rsidRPr="00353290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z krve, slin či moči)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353290" w:rsidRDefault="00353290" w:rsidP="00353290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*V případě podezření na přítomnost alkoholu nebo jiných návykových látek, provádět orientační zkoušky nebo odborná vyšetření.</w:t>
            </w:r>
          </w:p>
        </w:tc>
      </w:tr>
    </w:tbl>
    <w:p w:rsidR="00A421BE" w:rsidRDefault="00A421BE" w:rsidP="00353290">
      <w:pPr>
        <w:pStyle w:val="Bezmezer"/>
        <w:rPr>
          <w:lang w:eastAsia="cs-CZ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9"/>
        <w:gridCol w:w="6373"/>
      </w:tblGrid>
      <w:tr w:rsidR="00896A9E" w:rsidRPr="00A421BE" w:rsidTr="00AA3275">
        <w:trPr>
          <w:cantSplit/>
          <w:trHeight w:val="15"/>
        </w:trPr>
        <w:tc>
          <w:tcPr>
            <w:tcW w:w="0" w:type="auto"/>
            <w:gridSpan w:val="2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96A9E" w:rsidRPr="00C40428" w:rsidRDefault="00896A9E" w:rsidP="00AA3275">
            <w:pPr>
              <w:spacing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cs-CZ"/>
              </w:rPr>
            </w:pPr>
            <w:r w:rsidRPr="00A421B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Ostatní rizika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pádu z výšky nebo do hloubky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*Vybavení pracovníků(nic) prostředky určenými ke zvýšení místa práce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(schůdky s opěrným horním madlem)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, pro pohodlné a bezpečné provádění prací ve výškách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 xml:space="preserve"> (např. nutnost podat předměty z vysokých polic, věšení obrázku či dekorací apod.)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*Nepoužívat ke zvýšení místa práce nedovolené prostředky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židle, stoly, radiátory, parapety, kbelíky apod.)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uklouznutí osob na předmětech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 pravidelný úklid kancelářských prostor.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*Poučit administrativní pracovníky, aby neponechávali spadené předměty, které mohou způsobit zakopnutí, uklouznutí a tím i pád na zemi.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Těmito předměty jsou zejména propisky, pravítka, euro obaly a složky apod.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zakopnutí o šuplík a následný pád a vznik úrazu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*Poučit zaměstnance o nutnosti neponechávat šuplíky v otevřené poloze.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pádu osob a vznik úrazu z důvodu sedu na nedovolených prostředcích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*Poučit zaměstnance o zákazu sedat si na prostředky, které k tomuto nejsou určeny, zejména stoly, radiátory apod.</w:t>
            </w:r>
          </w:p>
          <w:p w:rsidR="00A421BE" w:rsidRPr="00896A9E" w:rsidRDefault="00A421B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*Zákaz kopírování částí těla na kopírkách.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pořezání se o střepy (sklo, keramika apod.)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*Nesbírat střepy rukama. Využít úklidových prostředk</w:t>
            </w:r>
            <w:r w:rsidR="00A421B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ů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(např. smetáček s lopatkou)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896A9E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lastRenderedPageBreak/>
              <w:t>Riziko uklouznutí a následného pádu při mytí a pohybu po vlhké podlaze.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625A52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647700" cy="1009650"/>
                  <wp:effectExtent l="0" t="0" r="0" b="0"/>
                  <wp:wrapSquare wrapText="bothSides"/>
                  <wp:docPr id="20" name="Obrázek 20" descr="https://lh3.googleusercontent.com/CfYnUjLxZnwsNilMfGg4JQEhgAI4wR6yjybrdgdF_gqcDfo_nAZ_h32Qr_DvAfnqwlvNMzl2curNPPEMYQt9v9fWPC21hikoTsy8tG6u3frzKnN63k8DsLo0umr9pYdyq-tt9Pf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lh3.googleusercontent.com/CfYnUjLxZnwsNilMfGg4JQEhgAI4wR6yjybrdgdF_gqcDfo_nAZ_h32Qr_DvAfnqwlvNMzl2curNPPEMYQt9v9fWPC21hikoTsy8tG6u3frzKnN63k8DsLo0umr9pYdyq-tt9Pf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*Zajistit, aby pracovnice úklidu upozornily osoby v objektu na přítomnost vlhké a kluzké podlahy příslušnou bezpečnostní cedulí: „Pozor! Kluzká podlaha!“</w:t>
            </w:r>
          </w:p>
          <w:p w:rsidR="00896A9E" w:rsidRPr="00896A9E" w:rsidRDefault="00896A9E" w:rsidP="00896A9E">
            <w:pPr>
              <w:spacing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 xml:space="preserve">*Cedule umísťovat tak, aby všechny osoby vcházející na místo kluzké podlahy, byly na toto riziko upozorněny </w:t>
            </w:r>
            <w:r w:rsidRPr="00896A9E">
              <w:rPr>
                <w:rFonts w:asciiTheme="majorHAnsi" w:eastAsia="Times New Roman" w:hAnsiTheme="majorHAnsi" w:cstheme="majorHAnsi"/>
                <w:i/>
                <w:color w:val="000000"/>
                <w:sz w:val="20"/>
                <w:szCs w:val="20"/>
                <w:lang w:eastAsia="cs-CZ"/>
              </w:rPr>
              <w:t>(ze všech směrů)</w:t>
            </w:r>
            <w:r w:rsidRPr="00896A9E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  <w:tr w:rsidR="00093E74" w:rsidRPr="00A421BE" w:rsidTr="00AA3275">
        <w:trPr>
          <w:cantSplit/>
        </w:trPr>
        <w:tc>
          <w:tcPr>
            <w:tcW w:w="268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E74" w:rsidRPr="00896A9E" w:rsidRDefault="00093E74" w:rsidP="00896A9E">
            <w:pPr>
              <w:spacing w:line="240" w:lineRule="auto"/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color w:val="C00000"/>
                <w:sz w:val="20"/>
                <w:szCs w:val="20"/>
                <w:lang w:eastAsia="cs-CZ"/>
              </w:rPr>
              <w:t>Riziko pádu na schodech</w:t>
            </w:r>
          </w:p>
        </w:tc>
        <w:tc>
          <w:tcPr>
            <w:tcW w:w="63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011B" w:rsidRPr="00A421BE" w:rsidRDefault="00093E74" w:rsidP="00896A9E">
            <w:pPr>
              <w:spacing w:line="240" w:lineRule="auto"/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noProof/>
                <w:sz w:val="20"/>
                <w:szCs w:val="20"/>
                <w:lang w:eastAsia="cs-CZ"/>
              </w:rPr>
              <w:t>*Po schodech neběhat, přidržovat se vždy zábradlí.</w:t>
            </w:r>
          </w:p>
        </w:tc>
      </w:tr>
    </w:tbl>
    <w:p w:rsidR="00896A9E" w:rsidRPr="00A421BE" w:rsidRDefault="00896A9E" w:rsidP="000A3C24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1527"/>
        <w:gridCol w:w="3389"/>
        <w:gridCol w:w="1979"/>
      </w:tblGrid>
      <w:tr w:rsidR="000A3C24" w:rsidRPr="00A421BE" w:rsidTr="000A3C24">
        <w:trPr>
          <w:trHeight w:val="414"/>
        </w:trPr>
        <w:tc>
          <w:tcPr>
            <w:tcW w:w="9062" w:type="dxa"/>
            <w:gridSpan w:val="4"/>
            <w:shd w:val="clear" w:color="auto" w:fill="BDD6EE" w:themeFill="accent5" w:themeFillTint="66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F. Záznam o autorizaci karty hodnocení rizik</w:t>
            </w:r>
          </w:p>
        </w:tc>
      </w:tr>
      <w:tr w:rsidR="000A3C24" w:rsidRPr="00A421BE" w:rsidTr="007F7BB0">
        <w:trPr>
          <w:trHeight w:val="420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tcBorders>
              <w:bottom w:val="nil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Dne</w:t>
            </w:r>
          </w:p>
        </w:tc>
        <w:tc>
          <w:tcPr>
            <w:tcW w:w="3389" w:type="dxa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1979" w:type="dxa"/>
            <w:tcBorders>
              <w:left w:val="single" w:sz="48" w:space="0" w:color="FFFFFF" w:themeColor="background1"/>
              <w:bottom w:val="nil"/>
            </w:tcBorders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Podpis</w:t>
            </w:r>
          </w:p>
        </w:tc>
      </w:tr>
      <w:tr w:rsidR="000A3C24" w:rsidRPr="00A421BE" w:rsidTr="00B75D64">
        <w:trPr>
          <w:trHeight w:hRule="exact" w:val="567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Vypracoval:</w:t>
            </w:r>
          </w:p>
        </w:tc>
        <w:tc>
          <w:tcPr>
            <w:tcW w:w="1527" w:type="dxa"/>
            <w:tcBorders>
              <w:top w:val="nil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B75D6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28.10.2018</w:t>
            </w:r>
          </w:p>
        </w:tc>
        <w:tc>
          <w:tcPr>
            <w:tcW w:w="3389" w:type="dxa"/>
            <w:tcBorders>
              <w:top w:val="nil"/>
              <w:left w:val="single" w:sz="48" w:space="0" w:color="FFFFFF" w:themeColor="background1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252113" w:rsidRDefault="00B75D64" w:rsidP="000A3C2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r w:rsidRPr="00252113"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Ing. Vít Hofman |</w:t>
            </w:r>
            <w:r w:rsidR="00252113" w:rsidRPr="00252113">
              <w:rPr>
                <w:rFonts w:asciiTheme="majorHAnsi" w:hAnsiTheme="majorHAnsi" w:cstheme="majorHAnsi"/>
                <w:sz w:val="20"/>
                <w:szCs w:val="20"/>
              </w:rPr>
              <w:t>BOZPkestazeni.cz</w:t>
            </w:r>
            <w:bookmarkEnd w:id="0"/>
          </w:p>
        </w:tc>
        <w:tc>
          <w:tcPr>
            <w:tcW w:w="1979" w:type="dxa"/>
            <w:tcBorders>
              <w:top w:val="nil"/>
              <w:left w:val="single" w:sz="48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A3C24" w:rsidRPr="00A421BE" w:rsidTr="00B75D64">
        <w:trPr>
          <w:trHeight w:hRule="exact" w:val="567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Autorizoval (OZO)</w:t>
            </w:r>
            <w:r w:rsidRPr="00A421BE">
              <w:rPr>
                <w:rStyle w:val="Znakapoznpodarou"/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footnoteReference w:id="2"/>
            </w: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15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A3C24" w:rsidRPr="00A421BE" w:rsidTr="00B75D64">
        <w:trPr>
          <w:trHeight w:hRule="exact" w:val="567"/>
        </w:trPr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Schválil a vydal:</w:t>
            </w:r>
          </w:p>
        </w:tc>
        <w:tc>
          <w:tcPr>
            <w:tcW w:w="1527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dotted" w:sz="4" w:space="0" w:color="808080" w:themeColor="background1" w:themeShade="80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  <w:tr w:rsidR="000A3C24" w:rsidRPr="00A421BE" w:rsidTr="007F7BB0"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0A3C24" w:rsidRPr="00A421BE" w:rsidRDefault="000A3C24" w:rsidP="000A3C24">
            <w:pPr>
              <w:jc w:val="righ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27" w:type="dxa"/>
            <w:tcBorders>
              <w:top w:val="dotted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338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  <w:bottom w:val="single" w:sz="4" w:space="0" w:color="808080" w:themeColor="background1" w:themeShade="80"/>
              <w:righ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  <w:tcBorders>
              <w:top w:val="dotted" w:sz="4" w:space="0" w:color="808080" w:themeColor="background1" w:themeShade="80"/>
              <w:left w:val="single" w:sz="48" w:space="0" w:color="FFFFFF" w:themeColor="background1"/>
            </w:tcBorders>
            <w:vAlign w:val="center"/>
          </w:tcPr>
          <w:p w:rsidR="000A3C24" w:rsidRPr="00A421BE" w:rsidRDefault="000A3C24" w:rsidP="000A3C24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</w:p>
        </w:tc>
      </w:tr>
    </w:tbl>
    <w:p w:rsidR="000A3C24" w:rsidRDefault="000A3C24" w:rsidP="000A3C2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36"/>
        <w:gridCol w:w="1559"/>
        <w:gridCol w:w="1554"/>
      </w:tblGrid>
      <w:tr w:rsidR="005E7E97" w:rsidRPr="00A421BE" w:rsidTr="00057501">
        <w:trPr>
          <w:trHeight w:val="414"/>
        </w:trPr>
        <w:tc>
          <w:tcPr>
            <w:tcW w:w="9062" w:type="dxa"/>
            <w:gridSpan w:val="4"/>
            <w:shd w:val="clear" w:color="auto" w:fill="BDD6EE" w:themeFill="accent5" w:themeFillTint="66"/>
            <w:vAlign w:val="center"/>
          </w:tcPr>
          <w:p w:rsidR="005E7E97" w:rsidRPr="00A421BE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G</w:t>
            </w:r>
            <w:r w:rsidRPr="00A421BE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 xml:space="preserve">. Záznam o </w:t>
            </w: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seznámení zaměstnanců s riziky a přijatými opatřeními</w:t>
            </w:r>
          </w:p>
        </w:tc>
      </w:tr>
      <w:tr w:rsidR="005E7E97" w:rsidRPr="00A421BE" w:rsidTr="005E7E97">
        <w:trPr>
          <w:trHeight w:val="414"/>
        </w:trPr>
        <w:tc>
          <w:tcPr>
            <w:tcW w:w="9062" w:type="dxa"/>
            <w:gridSpan w:val="4"/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</w:pPr>
            <w:r w:rsidRPr="005E7E97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*Prohlášení seznámené</w:t>
            </w:r>
            <w:r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(</w:t>
            </w:r>
            <w:r w:rsidRPr="005E7E97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ho</w:t>
            </w:r>
            <w:r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)</w:t>
            </w:r>
          </w:p>
          <w:p w:rsidR="005E7E97" w:rsidRPr="005E7E97" w:rsidRDefault="005E7E97" w:rsidP="005E7E97">
            <w:pPr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cs-CZ"/>
              </w:rPr>
              <w:t>Svým podpisem níže v tabulce prohlašuji, že jsem byl(a) na řádku s mým podpisem uvedeného data řádně seznámen(a) s vyhodnocenými riziky a přijatými opatřeními proti jejich působení v rozsahu této karty hodnocení rizik, že si rizika mé práce uvědomuji a že přijatým opatřením rozumím a budu je při práci respektovat a dodržovat. Dále svým podpisem prohlašuji, že k rizikům ani opatřením nemám žádných připomínek či dotazů.</w:t>
            </w: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Datum seznámení</w:t>
            </w:r>
          </w:p>
        </w:tc>
        <w:tc>
          <w:tcPr>
            <w:tcW w:w="453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 xml:space="preserve">Jméno a příjmení </w:t>
            </w:r>
          </w:p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seznámeného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 w:rsidRPr="005E7E97">
              <w:rPr>
                <w:rFonts w:asciiTheme="majorHAnsi" w:eastAsia="Times New Roman" w:hAnsiTheme="majorHAnsi" w:cstheme="majorHAnsi"/>
                <w:b/>
                <w:color w:val="C00000"/>
                <w:sz w:val="20"/>
                <w:szCs w:val="20"/>
                <w:lang w:eastAsia="cs-CZ"/>
              </w:rPr>
              <w:t>Podpis seznámeného*</w:t>
            </w:r>
          </w:p>
        </w:tc>
        <w:tc>
          <w:tcPr>
            <w:tcW w:w="1554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  <w:t>Podpis seznamujícího</w:t>
            </w: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nil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  <w:tr w:rsidR="005E7E97" w:rsidRPr="00A421BE" w:rsidTr="005E7E97">
        <w:trPr>
          <w:trHeight w:val="414"/>
        </w:trPr>
        <w:tc>
          <w:tcPr>
            <w:tcW w:w="1413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536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tcBorders>
              <w:top w:val="dotted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5E7E97" w:rsidRDefault="005E7E97" w:rsidP="00057501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cs-CZ"/>
              </w:rPr>
            </w:pPr>
          </w:p>
        </w:tc>
      </w:tr>
    </w:tbl>
    <w:p w:rsidR="005E7E97" w:rsidRDefault="005E7E97" w:rsidP="005E7E97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5E7E9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773" w:rsidRDefault="00304773" w:rsidP="00C40428">
      <w:pPr>
        <w:spacing w:line="240" w:lineRule="auto"/>
      </w:pPr>
      <w:r>
        <w:separator/>
      </w:r>
    </w:p>
  </w:endnote>
  <w:endnote w:type="continuationSeparator" w:id="0">
    <w:p w:rsidR="00304773" w:rsidRDefault="00304773" w:rsidP="00C40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0A3C24" w:rsidTr="00AA3275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0A3C24" w:rsidTr="00AA3275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56F18AEB" wp14:editId="0B6B3B61">
                <wp:extent cx="647700" cy="209550"/>
                <wp:effectExtent l="0" t="0" r="0" b="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:rsidR="000A3C24" w:rsidRDefault="000A3C24" w:rsidP="000A3C24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:rsidR="000A3C24" w:rsidRDefault="00304773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 w:rsidR="000A3C24"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 w:rsidR="000A3C24">
            <w:rPr>
              <w:rStyle w:val="Hypertextovodkaz"/>
              <w:rFonts w:cs="Arial"/>
              <w:sz w:val="16"/>
              <w:szCs w:val="16"/>
            </w:rPr>
            <w:t xml:space="preserve"> </w:t>
          </w:r>
          <w:r w:rsidR="000A3C24"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0A3C24" w:rsidRPr="000A3C24" w:rsidRDefault="000A3C24" w:rsidP="000A3C24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 w:rsidRPr="000A3C24">
            <w:rPr>
              <w:rFonts w:cs="Arial"/>
              <w:sz w:val="16"/>
              <w:szCs w:val="16"/>
            </w:rPr>
            <w:t xml:space="preserve">Strana </w:t>
          </w:r>
          <w:r w:rsidRPr="000A3C24">
            <w:rPr>
              <w:sz w:val="16"/>
              <w:szCs w:val="16"/>
            </w:rPr>
            <w:fldChar w:fldCharType="begin"/>
          </w:r>
          <w:r w:rsidRPr="000A3C24">
            <w:rPr>
              <w:rFonts w:cs="Arial"/>
              <w:sz w:val="16"/>
              <w:szCs w:val="16"/>
            </w:rPr>
            <w:instrText xml:space="preserve"> PAGE   \* MERGEFORMAT </w:instrText>
          </w:r>
          <w:r w:rsidRPr="000A3C24">
            <w:rPr>
              <w:sz w:val="16"/>
              <w:szCs w:val="16"/>
            </w:rPr>
            <w:fldChar w:fldCharType="separate"/>
          </w:r>
          <w:r w:rsidRPr="000A3C24">
            <w:rPr>
              <w:sz w:val="16"/>
              <w:szCs w:val="16"/>
            </w:rPr>
            <w:t>1</w:t>
          </w:r>
          <w:r w:rsidRPr="000A3C24">
            <w:rPr>
              <w:sz w:val="16"/>
              <w:szCs w:val="16"/>
            </w:rPr>
            <w:fldChar w:fldCharType="end"/>
          </w:r>
          <w:r w:rsidRPr="000A3C24">
            <w:rPr>
              <w:rFonts w:cs="Arial"/>
              <w:sz w:val="16"/>
              <w:szCs w:val="16"/>
            </w:rPr>
            <w:t>/</w:t>
          </w:r>
          <w:r w:rsidRPr="000A3C24">
            <w:rPr>
              <w:sz w:val="16"/>
              <w:szCs w:val="16"/>
            </w:rPr>
            <w:fldChar w:fldCharType="begin"/>
          </w:r>
          <w:r w:rsidRPr="000A3C24">
            <w:rPr>
              <w:rFonts w:cs="Arial"/>
              <w:sz w:val="16"/>
              <w:szCs w:val="16"/>
            </w:rPr>
            <w:instrText xml:space="preserve"> NUMPAGES   \* MERGEFORMAT </w:instrText>
          </w:r>
          <w:r w:rsidRPr="000A3C24">
            <w:rPr>
              <w:sz w:val="16"/>
              <w:szCs w:val="16"/>
            </w:rPr>
            <w:fldChar w:fldCharType="separate"/>
          </w:r>
          <w:r w:rsidRPr="000A3C24">
            <w:rPr>
              <w:sz w:val="16"/>
              <w:szCs w:val="16"/>
            </w:rPr>
            <w:t>2</w:t>
          </w:r>
          <w:r w:rsidRPr="000A3C24">
            <w:rPr>
              <w:sz w:val="16"/>
              <w:szCs w:val="16"/>
            </w:rPr>
            <w:fldChar w:fldCharType="end"/>
          </w:r>
        </w:p>
        <w:p w:rsidR="000A3C24" w:rsidRDefault="000A3C24" w:rsidP="000A3C24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:rsidR="000A3C24" w:rsidRDefault="000A3C24" w:rsidP="000A3C24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 w:rsidR="005E7E97"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:rsidR="00C40428" w:rsidRPr="000A3C24" w:rsidRDefault="00C40428" w:rsidP="000A3C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773" w:rsidRDefault="00304773" w:rsidP="00C40428">
      <w:pPr>
        <w:spacing w:line="240" w:lineRule="auto"/>
      </w:pPr>
      <w:r>
        <w:separator/>
      </w:r>
    </w:p>
  </w:footnote>
  <w:footnote w:type="continuationSeparator" w:id="0">
    <w:p w:rsidR="00304773" w:rsidRDefault="00304773" w:rsidP="00C40428">
      <w:pPr>
        <w:spacing w:line="240" w:lineRule="auto"/>
      </w:pPr>
      <w:r>
        <w:continuationSeparator/>
      </w:r>
    </w:p>
  </w:footnote>
  <w:footnote w:id="1">
    <w:p w:rsidR="00C40428" w:rsidRDefault="00C4042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P = Prach; CH = Nebezpečné chemické látky a směsi; H = Hluk; V = Vibrace; NZ = Neionizující záření; FZ = Fyzická zátěž; PP = Pracovní poloha; ZT = Zátěž teplem;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ZCh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= Zátěž chladem; PZ = Psychická zátěž, ZZ = Zraková zátěž; BČ = Biologické činitele;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ZTl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= Práce ve zvýšeném tlaku vzduchu;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Celk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= Celková kategorie práce.</w:t>
      </w:r>
    </w:p>
  </w:footnote>
  <w:footnote w:id="2">
    <w:p w:rsidR="000A3C24" w:rsidRPr="00A421BE" w:rsidRDefault="000A3C24">
      <w:pPr>
        <w:pStyle w:val="Textpoznpodarou"/>
        <w:rPr>
          <w:sz w:val="16"/>
          <w:szCs w:val="16"/>
        </w:rPr>
      </w:pPr>
      <w:r w:rsidRPr="00A421BE">
        <w:rPr>
          <w:rStyle w:val="Znakapoznpodarou"/>
          <w:sz w:val="16"/>
          <w:szCs w:val="16"/>
        </w:rPr>
        <w:footnoteRef/>
      </w:r>
      <w:r w:rsidRPr="00A421BE">
        <w:rPr>
          <w:sz w:val="16"/>
          <w:szCs w:val="16"/>
        </w:rPr>
        <w:t xml:space="preserve"> V případě, kdy zaměstnavatel musí plnit úkoly prevence rizik prostřednictvím osoby odborně způsobilé k zajišťování úkolů prevence rizik v oblasti bezpečnosti a ochrany zdraví při práci (OZO), viz </w:t>
      </w:r>
      <w:hyperlink r:id="rId1" w:anchor="p9" w:history="1">
        <w:r w:rsidRPr="00A421BE">
          <w:rPr>
            <w:rStyle w:val="Hypertextovodkaz"/>
            <w:sz w:val="16"/>
            <w:szCs w:val="16"/>
          </w:rPr>
          <w:t xml:space="preserve">§ 9, zákona č. 309/2006 Sb., </w:t>
        </w:r>
        <w:proofErr w:type="spellStart"/>
        <w:r w:rsidRPr="00A421BE">
          <w:rPr>
            <w:rStyle w:val="Hypertextovodkaz"/>
            <w:sz w:val="16"/>
            <w:szCs w:val="16"/>
          </w:rPr>
          <w:t>úz</w:t>
        </w:r>
        <w:proofErr w:type="spellEnd"/>
      </w:hyperlink>
      <w:r w:rsidRPr="00A421BE">
        <w:rPr>
          <w:sz w:val="16"/>
          <w:szCs w:val="16"/>
        </w:rPr>
        <w:t>, je vyžadován podpis této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4059"/>
      <w:gridCol w:w="3777"/>
    </w:tblGrid>
    <w:tr w:rsidR="00C40428" w:rsidRPr="00093E74" w:rsidTr="00C40428">
      <w:tc>
        <w:tcPr>
          <w:tcW w:w="1134" w:type="dxa"/>
        </w:tcPr>
        <w:p w:rsidR="00C40428" w:rsidRPr="00093E74" w:rsidRDefault="005E7E97">
          <w:pPr>
            <w:pStyle w:val="Zhlav"/>
            <w:rPr>
              <w:rFonts w:asciiTheme="majorHAnsi" w:hAnsiTheme="majorHAnsi" w:cstheme="majorHAnsi"/>
              <w:color w:val="808080" w:themeColor="background1" w:themeShade="80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7171957" wp14:editId="4C341F8F">
                <wp:extent cx="647700" cy="20955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:rsidR="00C40428" w:rsidRPr="005E7E97" w:rsidRDefault="00C40428">
          <w:pPr>
            <w:pStyle w:val="Zhlav"/>
            <w:rPr>
              <w:rFonts w:asciiTheme="majorHAnsi" w:hAnsiTheme="majorHAnsi" w:cstheme="majorHAnsi"/>
              <w:b/>
              <w:color w:val="A6A6A6" w:themeColor="background1" w:themeShade="A6"/>
              <w:sz w:val="16"/>
              <w:szCs w:val="16"/>
            </w:rPr>
          </w:pPr>
          <w:r w:rsidRPr="005E7E97">
            <w:rPr>
              <w:rFonts w:asciiTheme="majorHAnsi" w:hAnsiTheme="majorHAnsi" w:cstheme="majorHAnsi"/>
              <w:b/>
              <w:color w:val="A6A6A6" w:themeColor="background1" w:themeShade="A6"/>
              <w:sz w:val="16"/>
              <w:szCs w:val="16"/>
            </w:rPr>
            <w:t>Ing. Vít Hofman | SAW</w:t>
          </w:r>
        </w:p>
        <w:p w:rsidR="00C40428" w:rsidRPr="005E7E97" w:rsidRDefault="00C40428">
          <w:pPr>
            <w:pStyle w:val="Zhlav"/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</w:pPr>
          <w:r w:rsidRPr="005E7E97"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  <w:t>ROVS/4751/PRE/2016</w:t>
          </w:r>
        </w:p>
        <w:p w:rsidR="00C40428" w:rsidRPr="005E7E97" w:rsidRDefault="00C40428">
          <w:pPr>
            <w:pStyle w:val="Zhlav"/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</w:pPr>
          <w:r w:rsidRPr="005E7E97">
            <w:rPr>
              <w:rFonts w:asciiTheme="majorHAnsi" w:hAnsiTheme="majorHAnsi" w:cstheme="majorHAnsi"/>
              <w:color w:val="A6A6A6" w:themeColor="background1" w:themeShade="A6"/>
              <w:sz w:val="16"/>
              <w:szCs w:val="16"/>
            </w:rPr>
            <w:t>IČ: 020 65 681</w:t>
          </w:r>
        </w:p>
        <w:p w:rsidR="00C40428" w:rsidRPr="005E7E97" w:rsidRDefault="005E7E97" w:rsidP="00C40428">
          <w:pPr>
            <w:pStyle w:val="Zhlav"/>
            <w:rPr>
              <w:rFonts w:asciiTheme="majorHAnsi" w:hAnsiTheme="majorHAnsi" w:cstheme="majorHAnsi"/>
              <w:color w:val="A6A6A6" w:themeColor="background1" w:themeShade="A6"/>
            </w:rPr>
          </w:pPr>
          <w:hyperlink r:id="rId2" w:history="1">
            <w:r w:rsidRPr="005E7E97">
              <w:rPr>
                <w:rStyle w:val="Hypertextovodkaz"/>
                <w:rFonts w:asciiTheme="majorHAnsi" w:hAnsiTheme="majorHAnsi" w:cstheme="majorHAnsi"/>
                <w:color w:val="A6A6A6" w:themeColor="background1" w:themeShade="A6"/>
                <w:sz w:val="16"/>
                <w:szCs w:val="16"/>
              </w:rPr>
              <w:t>w</w:t>
            </w:r>
            <w:r w:rsidRPr="005E7E97">
              <w:rPr>
                <w:rStyle w:val="Hypertextovodkaz"/>
                <w:color w:val="A6A6A6" w:themeColor="background1" w:themeShade="A6"/>
                <w:sz w:val="16"/>
                <w:szCs w:val="16"/>
              </w:rPr>
              <w:t>ww.bozpkestazeni.cz</w:t>
            </w:r>
          </w:hyperlink>
        </w:p>
      </w:tc>
      <w:tc>
        <w:tcPr>
          <w:tcW w:w="3822" w:type="dxa"/>
        </w:tcPr>
        <w:p w:rsidR="00C40428" w:rsidRPr="005E7E97" w:rsidRDefault="00C40428" w:rsidP="00C40428">
          <w:pPr>
            <w:jc w:val="right"/>
            <w:rPr>
              <w:rFonts w:asciiTheme="majorHAnsi" w:eastAsia="Times New Roman" w:hAnsiTheme="majorHAnsi" w:cstheme="majorHAnsi"/>
              <w:color w:val="A6A6A6" w:themeColor="background1" w:themeShade="A6"/>
              <w:sz w:val="24"/>
              <w:szCs w:val="24"/>
              <w:lang w:eastAsia="cs-CZ"/>
            </w:rPr>
          </w:pPr>
          <w:r w:rsidRPr="005E7E97">
            <w:rPr>
              <w:rFonts w:asciiTheme="majorHAnsi" w:eastAsia="Times New Roman" w:hAnsiTheme="majorHAnsi" w:cstheme="majorHAnsi"/>
              <w:color w:val="A6A6A6" w:themeColor="background1" w:themeShade="A6"/>
              <w:sz w:val="16"/>
              <w:szCs w:val="16"/>
              <w:lang w:eastAsia="cs-CZ"/>
            </w:rPr>
            <w:t>Interní označení dokumentu: saw_03a02.1</w:t>
          </w:r>
        </w:p>
        <w:p w:rsidR="00C40428" w:rsidRPr="005E7E97" w:rsidRDefault="00C40428" w:rsidP="00C40428">
          <w:pPr>
            <w:jc w:val="right"/>
            <w:rPr>
              <w:rFonts w:asciiTheme="majorHAnsi" w:eastAsia="Times New Roman" w:hAnsiTheme="majorHAnsi" w:cstheme="majorHAnsi"/>
              <w:color w:val="A6A6A6" w:themeColor="background1" w:themeShade="A6"/>
              <w:sz w:val="24"/>
              <w:szCs w:val="24"/>
              <w:lang w:eastAsia="cs-CZ"/>
            </w:rPr>
          </w:pPr>
          <w:r w:rsidRPr="005E7E97">
            <w:rPr>
              <w:rFonts w:asciiTheme="majorHAnsi" w:eastAsia="Times New Roman" w:hAnsiTheme="majorHAnsi" w:cstheme="majorHAnsi"/>
              <w:color w:val="A6A6A6" w:themeColor="background1" w:themeShade="A6"/>
              <w:sz w:val="16"/>
              <w:szCs w:val="16"/>
              <w:lang w:eastAsia="cs-CZ"/>
            </w:rPr>
            <w:t>Nadřazený dokument: saw_01</w:t>
          </w:r>
        </w:p>
        <w:p w:rsidR="00C40428" w:rsidRPr="005E7E97" w:rsidRDefault="00C40428" w:rsidP="00C40428">
          <w:pPr>
            <w:jc w:val="right"/>
            <w:rPr>
              <w:rFonts w:asciiTheme="majorHAnsi" w:eastAsia="Times New Roman" w:hAnsiTheme="majorHAnsi" w:cstheme="majorHAnsi"/>
              <w:color w:val="A6A6A6" w:themeColor="background1" w:themeShade="A6"/>
              <w:sz w:val="24"/>
              <w:szCs w:val="24"/>
              <w:lang w:eastAsia="cs-CZ"/>
            </w:rPr>
          </w:pPr>
          <w:r w:rsidRPr="005E7E97">
            <w:rPr>
              <w:rFonts w:asciiTheme="majorHAnsi" w:eastAsia="Times New Roman" w:hAnsiTheme="majorHAnsi" w:cstheme="majorHAnsi"/>
              <w:color w:val="A6A6A6" w:themeColor="background1" w:themeShade="A6"/>
              <w:sz w:val="16"/>
              <w:szCs w:val="16"/>
              <w:lang w:eastAsia="cs-CZ"/>
            </w:rPr>
            <w:t>Verze: 2018102801</w:t>
          </w:r>
        </w:p>
        <w:p w:rsidR="00C40428" w:rsidRPr="005E7E97" w:rsidRDefault="00C40428">
          <w:pPr>
            <w:pStyle w:val="Zhlav"/>
            <w:rPr>
              <w:rFonts w:asciiTheme="majorHAnsi" w:hAnsiTheme="majorHAnsi" w:cstheme="majorHAnsi"/>
              <w:color w:val="A6A6A6" w:themeColor="background1" w:themeShade="A6"/>
            </w:rPr>
          </w:pPr>
        </w:p>
      </w:tc>
    </w:tr>
    <w:tr w:rsidR="00C40428" w:rsidRPr="00093E74" w:rsidTr="00C40428">
      <w:tc>
        <w:tcPr>
          <w:tcW w:w="1134" w:type="dxa"/>
        </w:tcPr>
        <w:p w:rsidR="00C40428" w:rsidRPr="00093E74" w:rsidRDefault="00C40428">
          <w:pPr>
            <w:pStyle w:val="Zhlav"/>
            <w:rPr>
              <w:rFonts w:asciiTheme="majorHAnsi" w:hAnsiTheme="majorHAnsi" w:cstheme="majorHAnsi"/>
              <w:noProof/>
              <w:color w:val="808080" w:themeColor="background1" w:themeShade="80"/>
              <w:sz w:val="16"/>
              <w:szCs w:val="16"/>
            </w:rPr>
          </w:pPr>
        </w:p>
      </w:tc>
      <w:tc>
        <w:tcPr>
          <w:tcW w:w="4106" w:type="dxa"/>
        </w:tcPr>
        <w:p w:rsidR="00C40428" w:rsidRPr="00093E74" w:rsidRDefault="00C40428">
          <w:pPr>
            <w:pStyle w:val="Zhlav"/>
            <w:rPr>
              <w:rFonts w:asciiTheme="majorHAnsi" w:hAnsiTheme="majorHAnsi" w:cstheme="majorHAnsi"/>
              <w:b/>
              <w:color w:val="808080" w:themeColor="background1" w:themeShade="80"/>
              <w:sz w:val="16"/>
              <w:szCs w:val="16"/>
            </w:rPr>
          </w:pPr>
        </w:p>
      </w:tc>
      <w:tc>
        <w:tcPr>
          <w:tcW w:w="3822" w:type="dxa"/>
        </w:tcPr>
        <w:p w:rsidR="00C40428" w:rsidRPr="00093E74" w:rsidRDefault="00C40428" w:rsidP="00C40428">
          <w:pPr>
            <w:jc w:val="right"/>
            <w:rPr>
              <w:rFonts w:asciiTheme="majorHAnsi" w:eastAsia="Times New Roman" w:hAnsiTheme="majorHAnsi" w:cstheme="majorHAnsi"/>
              <w:color w:val="808080" w:themeColor="background1" w:themeShade="80"/>
              <w:sz w:val="16"/>
              <w:szCs w:val="16"/>
              <w:lang w:eastAsia="cs-CZ"/>
            </w:rPr>
          </w:pPr>
        </w:p>
      </w:tc>
    </w:tr>
  </w:tbl>
  <w:p w:rsidR="00C40428" w:rsidRPr="00093E74" w:rsidRDefault="00C40428">
    <w:pPr>
      <w:pStyle w:val="Zhlav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C6F73"/>
    <w:multiLevelType w:val="multilevel"/>
    <w:tmpl w:val="DB6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E3A73"/>
    <w:multiLevelType w:val="multilevel"/>
    <w:tmpl w:val="DB64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428"/>
    <w:rsid w:val="00092BFC"/>
    <w:rsid w:val="00093E74"/>
    <w:rsid w:val="000A3C24"/>
    <w:rsid w:val="001B0A77"/>
    <w:rsid w:val="001C02DB"/>
    <w:rsid w:val="00252113"/>
    <w:rsid w:val="002546E5"/>
    <w:rsid w:val="002831C4"/>
    <w:rsid w:val="002E2EDF"/>
    <w:rsid w:val="00304773"/>
    <w:rsid w:val="00353290"/>
    <w:rsid w:val="005E7E97"/>
    <w:rsid w:val="00657F3C"/>
    <w:rsid w:val="0067011B"/>
    <w:rsid w:val="007F7BB0"/>
    <w:rsid w:val="00802811"/>
    <w:rsid w:val="00896A9E"/>
    <w:rsid w:val="008D1E05"/>
    <w:rsid w:val="00A27BC6"/>
    <w:rsid w:val="00A421BE"/>
    <w:rsid w:val="00B75D64"/>
    <w:rsid w:val="00C40428"/>
    <w:rsid w:val="00C437CE"/>
    <w:rsid w:val="00C648A3"/>
    <w:rsid w:val="00D44FC3"/>
    <w:rsid w:val="00DF7062"/>
    <w:rsid w:val="00EF6D61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9B79C"/>
  <w15:chartTrackingRefBased/>
  <w15:docId w15:val="{2A41433D-F7D8-4B81-99DC-5AD87F93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6A9E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0428"/>
    <w:rPr>
      <w:color w:val="0000FF"/>
      <w:u w:val="single"/>
    </w:rPr>
  </w:style>
  <w:style w:type="paragraph" w:styleId="Bezmezer">
    <w:name w:val="No Spacing"/>
    <w:uiPriority w:val="1"/>
    <w:qFormat/>
    <w:rsid w:val="00C4042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4042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0428"/>
  </w:style>
  <w:style w:type="paragraph" w:styleId="Zpat">
    <w:name w:val="footer"/>
    <w:basedOn w:val="Normln"/>
    <w:link w:val="ZpatChar"/>
    <w:uiPriority w:val="99"/>
    <w:unhideWhenUsed/>
    <w:rsid w:val="00C4042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0428"/>
  </w:style>
  <w:style w:type="table" w:styleId="Mkatabulky">
    <w:name w:val="Table Grid"/>
    <w:basedOn w:val="Normlntabulka"/>
    <w:uiPriority w:val="39"/>
    <w:rsid w:val="00C40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C40428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40428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4042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4042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8D1E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1E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1E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1E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1E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1E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zakonyprolidi.cz/cs/2006-309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CE90D-6AFA-4900-B4D5-3B36451F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6</Pages>
  <Words>1329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</dc:creator>
  <cp:keywords/>
  <dc:description/>
  <cp:lastModifiedBy>SAW</cp:lastModifiedBy>
  <cp:revision>19</cp:revision>
  <dcterms:created xsi:type="dcterms:W3CDTF">2018-10-28T09:17:00Z</dcterms:created>
  <dcterms:modified xsi:type="dcterms:W3CDTF">2018-12-09T10:00:00Z</dcterms:modified>
</cp:coreProperties>
</file>