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40428" w:rsidRPr="00C40428" w:rsidTr="00C40428">
        <w:trPr>
          <w:trHeight w:val="15"/>
        </w:trPr>
        <w:tc>
          <w:tcPr>
            <w:tcW w:w="5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04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Karta hodnocení rizik práce</w:t>
            </w:r>
          </w:p>
        </w:tc>
      </w:tr>
      <w:tr w:rsidR="00C40428" w:rsidRPr="00C40428" w:rsidTr="00C40428">
        <w:trPr>
          <w:trHeight w:val="25"/>
        </w:trPr>
        <w:tc>
          <w:tcPr>
            <w:tcW w:w="5000" w:type="pct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04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Administrativní práce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82"/>
        <w:gridCol w:w="512"/>
        <w:gridCol w:w="492"/>
        <w:gridCol w:w="666"/>
        <w:gridCol w:w="609"/>
        <w:gridCol w:w="639"/>
        <w:gridCol w:w="617"/>
        <w:gridCol w:w="797"/>
        <w:gridCol w:w="625"/>
        <w:gridCol w:w="610"/>
        <w:gridCol w:w="656"/>
        <w:gridCol w:w="686"/>
        <w:gridCol w:w="957"/>
      </w:tblGrid>
      <w:tr w:rsidR="00C40428" w:rsidRPr="00C40428" w:rsidTr="000A3C24">
        <w:trPr>
          <w:trHeight w:val="15"/>
        </w:trPr>
        <w:tc>
          <w:tcPr>
            <w:tcW w:w="0" w:type="auto"/>
            <w:gridSpan w:val="14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A. Kategorizace prací, dle § 37, zákona č. 258/2000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0A3C24" w:rsidRPr="00A421BE" w:rsidTr="00353290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FZ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ZCh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BČ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ZTl</w:t>
            </w:r>
            <w:proofErr w:type="spellEnd"/>
          </w:p>
        </w:tc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Celk</w:t>
            </w:r>
            <w:proofErr w:type="spellEnd"/>
            <w:r w:rsidRPr="00A421BE">
              <w:rPr>
                <w:rStyle w:val="Znakapoznpodarou"/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="000A3C24" w:rsidRPr="00A421BE" w:rsidTr="00353290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896A9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90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0428" w:rsidRPr="00C40428" w:rsidTr="000A3C24">
        <w:trPr>
          <w:trHeight w:val="15"/>
        </w:trPr>
        <w:tc>
          <w:tcPr>
            <w:tcW w:w="0" w:type="auto"/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B. Rizika ohrožení zdraví, dle části 2, přílohy II, vyhlášky č. 79/2013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, bodu:</w:t>
            </w:r>
          </w:p>
        </w:tc>
      </w:tr>
      <w:tr w:rsidR="00C40428" w:rsidRPr="00C40428" w:rsidTr="00C40428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Součástí administrativních prací není riziko ohrožení zdraví.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C40428" w:rsidRPr="00C40428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C. </w:t>
            </w:r>
            <w:r w:rsidR="0080281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8028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eriody pracovnělékařských </w:t>
            </w:r>
            <w:r w:rsidR="0080281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8028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rohlídek</w:t>
            </w: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, dle vyhlášky č. 79/2013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C40428" w:rsidTr="00C40428">
        <w:tc>
          <w:tcPr>
            <w:tcW w:w="858" w:type="pct"/>
            <w:tcBorders>
              <w:left w:val="single" w:sz="4" w:space="0" w:color="808080" w:themeColor="background1" w:themeShade="80"/>
              <w:bottom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Do </w:t>
            </w: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50ti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let věku:</w:t>
            </w:r>
          </w:p>
        </w:tc>
        <w:tc>
          <w:tcPr>
            <w:tcW w:w="4142" w:type="pct"/>
            <w:tcBorders>
              <w:bottom w:val="single" w:sz="4" w:space="0" w:color="999999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 x 6 let</w:t>
            </w:r>
          </w:p>
        </w:tc>
      </w:tr>
      <w:tr w:rsidR="00C40428" w:rsidRPr="00C40428" w:rsidTr="00C40428">
        <w:tc>
          <w:tcPr>
            <w:tcW w:w="858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Nad 50 let věku:</w:t>
            </w:r>
          </w:p>
        </w:tc>
        <w:tc>
          <w:tcPr>
            <w:tcW w:w="4142" w:type="pct"/>
            <w:tcBorders>
              <w:top w:val="single" w:sz="4" w:space="0" w:color="99999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 x 4 roky</w:t>
            </w:r>
          </w:p>
        </w:tc>
      </w:tr>
    </w:tbl>
    <w:p w:rsidR="00C40428" w:rsidRPr="00C40428" w:rsidRDefault="00C40428" w:rsidP="00C40428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537"/>
      </w:tblGrid>
      <w:tr w:rsidR="00C40428" w:rsidRPr="00C40428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D. Osobní ochranné pracovní prostředky, dle odst. (5), § 104, zákona č. 262/2006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C40428" w:rsidTr="00C40428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 výkonu administrativních prací nejsou standardně vyžadovány osobní ochranné pracovní prostředky.</w:t>
            </w:r>
          </w:p>
        </w:tc>
      </w:tr>
      <w:tr w:rsidR="00C40428" w:rsidRPr="00C40428" w:rsidTr="00C40428">
        <w:trPr>
          <w:trHeight w:val="25"/>
        </w:trPr>
        <w:tc>
          <w:tcPr>
            <w:tcW w:w="1945" w:type="pct"/>
            <w:tcBorders>
              <w:left w:val="single" w:sz="4" w:space="0" w:color="808080" w:themeColor="background1" w:themeShade="80"/>
              <w:bottom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Druh prostředku</w:t>
            </w:r>
          </w:p>
        </w:tc>
        <w:tc>
          <w:tcPr>
            <w:tcW w:w="3055" w:type="pct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Způsob a podmínky použití</w:t>
            </w:r>
          </w:p>
        </w:tc>
      </w:tr>
      <w:tr w:rsidR="00C40428" w:rsidRPr="00C40428" w:rsidTr="00C40428">
        <w:trPr>
          <w:trHeight w:val="182"/>
        </w:trPr>
        <w:tc>
          <w:tcPr>
            <w:tcW w:w="1945" w:type="pct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055" w:type="pct"/>
            <w:tcBorders>
              <w:top w:val="single" w:sz="4" w:space="0" w:color="99999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C4042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</w:tbl>
    <w:p w:rsidR="00896A9E" w:rsidRDefault="00896A9E" w:rsidP="00C40428">
      <w:pPr>
        <w:pStyle w:val="Bezmezer"/>
        <w:rPr>
          <w:lang w:eastAsia="cs-CZ"/>
        </w:rPr>
      </w:pPr>
    </w:p>
    <w:p w:rsidR="00896A9E" w:rsidRDefault="00896A9E">
      <w:pPr>
        <w:spacing w:after="160"/>
        <w:rPr>
          <w:lang w:eastAsia="cs-CZ"/>
        </w:rPr>
      </w:pPr>
      <w:r>
        <w:rPr>
          <w:lang w:eastAsia="cs-CZ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369"/>
      </w:tblGrid>
      <w:tr w:rsidR="00C40428" w:rsidRPr="00A421BE" w:rsidTr="000A3C24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E. Hodnocení rizik práce, dle § 102, zákona č. 262/2006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</w:p>
        </w:tc>
      </w:tr>
      <w:tr w:rsidR="00C40428" w:rsidRPr="00A421BE" w:rsidTr="00C40428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000000"/>
            </w:tcBorders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2E2EDF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cs-CZ"/>
              </w:rPr>
              <w:t>E1. Rizika nepřijatelná</w:t>
            </w:r>
          </w:p>
        </w:tc>
      </w:tr>
      <w:tr w:rsidR="00C40428" w:rsidRPr="00A421BE" w:rsidTr="00896A9E">
        <w:tc>
          <w:tcPr>
            <w:tcW w:w="14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Popis rizika</w:t>
            </w:r>
          </w:p>
        </w:tc>
        <w:tc>
          <w:tcPr>
            <w:tcW w:w="3516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0428" w:rsidRPr="00C40428" w:rsidRDefault="00C40428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Navržená opatření k předcházení rizika</w:t>
            </w:r>
          </w:p>
        </w:tc>
      </w:tr>
    </w:tbl>
    <w:p w:rsidR="00C40428" w:rsidRPr="00A421BE" w:rsidRDefault="00C40428">
      <w:pPr>
        <w:rPr>
          <w:sz w:val="20"/>
          <w:szCs w:val="20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A3C24" w:rsidRPr="00A421BE" w:rsidTr="000A3C24">
        <w:trPr>
          <w:cantSplit/>
          <w:trHeight w:val="15"/>
        </w:trPr>
        <w:tc>
          <w:tcPr>
            <w:tcW w:w="0" w:type="auto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C24" w:rsidRPr="00C40428" w:rsidRDefault="000A3C24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Práce v sedě u PC</w:t>
            </w:r>
          </w:p>
        </w:tc>
      </w:tr>
      <w:tr w:rsidR="000A3C24" w:rsidRPr="00A421BE" w:rsidTr="00AA327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999999"/>
          </w:tblBorders>
        </w:tblPrEx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 xml:space="preserve">Riziko poškození zdraví vlivem práce u PC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cs-CZ"/>
              </w:rPr>
              <w:t>(práce v sedu)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*Vybavit pracovníky vhodnými ergonomickými kancelářskými židlemi a dalšími prostředky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(stůl, klávesnice, myš apod.)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*Při práci vsedě a u PC dodržovat základní ergonomické zásady: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Sedět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pokud možno v pravých úhlech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(mít pravý úhel v kotníku, koleni, pase i loktech);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Sedět na celém sedáku židle, záda mít podepřena zádovou opěrkou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(nesedět příliš vepředu, neležet na židli, nesedět tak, aby opěrka nepodepírala záda);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Nastavit si správnou výšku sedáku tak, aby chodidla celou plochou dosedla na podlahu a nohy nebyly příliš nadlehčeny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(útlak na spodní stranu stehen)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nebo naopak;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Horní hranu monitoru mít přibližně ve výšce očí;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Oči mít od monitoru alespoň 50 cm;</w:t>
            </w:r>
          </w:p>
          <w:p w:rsidR="000A3C24" w:rsidRPr="00C40428" w:rsidRDefault="000A3C24" w:rsidP="000A3C2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Nesedět v “pololeže”, nesedět s nohou přes nohu, nesedět </w:t>
            </w:r>
            <w:r w:rsidR="00A27BC6"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shrbeně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11B3147A" wp14:editId="1E254BDD">
                  <wp:extent cx="2867025" cy="1676400"/>
                  <wp:effectExtent l="0" t="0" r="9525" b="0"/>
                  <wp:docPr id="1" name="Obrázek 1" descr="https://lh6.googleusercontent.com/ooM-GQQam4MX9QKk0Npf395DzjZlR3uPLBlGkwofV25ZCv4UdqKuZjU3moD08Afl9QeimbEnCJVRHSg38WbvCQAhqn2oowQWRgmN3TpmiOIzIeaMhdxqZK9_sveSWdtawbnYBs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ooM-GQQam4MX9QKk0Npf395DzjZlR3uPLBlGkwofV25ZCv4UdqKuZjU3moD08Afl9QeimbEnCJVRHSg38WbvCQAhqn2oowQWRgmN3TpmiOIzIeaMhdxqZK9_sveSWdtawbnYBs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*Přerušovat práci s PC alespoň každé dvě hodiny od započetí práce bezpečnostní přestávkou v trvání </w:t>
            </w: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 – 10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min. </w:t>
            </w:r>
          </w:p>
          <w:p w:rsidR="000A3C24" w:rsidRPr="00C40428" w:rsidRDefault="000A3C24" w:rsidP="000A3C2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Během přestávky nechat odpočinout očím a provést protahovací a uvolňovací cviky, viz např. obrázky níže:</w:t>
            </w:r>
          </w:p>
        </w:tc>
      </w:tr>
      <w:tr w:rsidR="000A3C24" w:rsidRPr="00C40428" w:rsidTr="001C02DB">
        <w:trPr>
          <w:cantSplit/>
          <w:trHeight w:val="380"/>
        </w:trPr>
        <w:tc>
          <w:tcPr>
            <w:tcW w:w="0" w:type="auto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C24" w:rsidRPr="00C40428" w:rsidRDefault="000A3C24" w:rsidP="000A3C24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lastRenderedPageBreak/>
              <w:drawing>
                <wp:inline distT="0" distB="0" distL="0" distR="0" wp14:anchorId="721A1F10" wp14:editId="6F26A0B2">
                  <wp:extent cx="1133475" cy="1133475"/>
                  <wp:effectExtent l="0" t="0" r="9525" b="9525"/>
                  <wp:docPr id="11" name="Obrázek 11" descr="https://lh5.googleusercontent.com/IiOcyARS9_AnIxPRbQauj1JHLqoNYKxx3NSsRSAZL6LO2F1h_axhq2basOKP5nf0xeIj0ELlryiAikLFW19u1famNoB74ttXUyRegD7tfX-oN2aSwngYlelO_y7IKnv-0CYulg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IiOcyARS9_AnIxPRbQauj1JHLqoNYKxx3NSsRSAZL6LO2F1h_axhq2basOKP5nf0xeIj0ELlryiAikLFW19u1famNoB74ttXUyRegD7tfX-oN2aSwngYlelO_y7IKnv-0CYulg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drawing>
                <wp:inline distT="0" distB="0" distL="0" distR="0" wp14:anchorId="37EFBE7B" wp14:editId="036B4B3B">
                  <wp:extent cx="1609725" cy="1162050"/>
                  <wp:effectExtent l="0" t="0" r="9525" b="0"/>
                  <wp:docPr id="12" name="Obrázek 12" descr="https://lh6.googleusercontent.com/qmv4zoA4ZwR4-7yuUs-RBNCPKAEv7YYfOPggkN8mLO3Av4-6gXHzrJOT_XIMx8m-I3_PbXM7vgtYSWE2vB0Boy_JkX7-S9dTO1Bo-W2bytJ60WTPprceQNaDqNKm0NCaDCZd4l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qmv4zoA4ZwR4-7yuUs-RBNCPKAEv7YYfOPggkN8mLO3Av4-6gXHzrJOT_XIMx8m-I3_PbXM7vgtYSWE2vB0Boy_JkX7-S9dTO1Bo-W2bytJ60WTPprceQNaDqNKm0NCaDCZd4lx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drawing>
                <wp:inline distT="0" distB="0" distL="0" distR="0" wp14:anchorId="4631C20B" wp14:editId="7DEDEEE4">
                  <wp:extent cx="2314575" cy="1428750"/>
                  <wp:effectExtent l="0" t="0" r="9525" b="0"/>
                  <wp:docPr id="13" name="Obrázek 13" descr="https://lh3.googleusercontent.com/ZwdX_rqaLOzMbCZ5UFNspDoTdZ_k1q1EGf8X8GzfPqCSvGJ4AjBo1jggO6NlvvQXO8xNYU4dRpMFKyl7oLX9mHwex1UBCBKeHF8NgLQbq8IUpn--fM0rTyDdvXEBndVqznvmZY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ZwdX_rqaLOzMbCZ5UFNspDoTdZ_k1q1EGf8X8GzfPqCSvGJ4AjBo1jggO6NlvvQXO8xNYU4dRpMFKyl7oLX9mHwex1UBCBKeHF8NgLQbq8IUpn--fM0rTyDdvXEBndVqznvmZY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24" w:rsidRPr="00C40428" w:rsidRDefault="000A3C24" w:rsidP="000A3C24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drawing>
                <wp:inline distT="0" distB="0" distL="0" distR="0" wp14:anchorId="2BF2AB4C" wp14:editId="17A24FDD">
                  <wp:extent cx="1971675" cy="1257300"/>
                  <wp:effectExtent l="0" t="0" r="9525" b="0"/>
                  <wp:docPr id="14" name="Obrázek 14" descr="https://lh5.googleusercontent.com/_4U975C0InvSL_h6uavDfuCnnj55IFvcIV_MkPLhobvYjh4-vszeBp04wUt5tWs2Af9TuBZC4jUMPKcZ2iym2zKRo72TdYoEZccNw5F5fqaT_vdA8Tff_AKyUuFhCc2EEB6N3V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_4U975C0InvSL_h6uavDfuCnnj55IFvcIV_MkPLhobvYjh4-vszeBp04wUt5tWs2Af9TuBZC4jUMPKcZ2iym2zKRo72TdYoEZccNw5F5fqaT_vdA8Tff_AKyUuFhCc2EEB6N3V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drawing>
                <wp:inline distT="0" distB="0" distL="0" distR="0" wp14:anchorId="48DE8F2D" wp14:editId="1D278C8A">
                  <wp:extent cx="2457450" cy="1323975"/>
                  <wp:effectExtent l="0" t="0" r="0" b="9525"/>
                  <wp:docPr id="15" name="Obrázek 15" descr="https://lh3.googleusercontent.com/JqbqOCtBsgHCfVqDE-77gGSRv8B1Vm5Xn5cXZVjGWp-vIDEM07IG6yo6islA2sdLClougkCIxoB9zd_lLgO6WpBVEey0qo0vaApthjBn_PfRvO5vjYN2WH6qzQ65RSJXYXLnVq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3.googleusercontent.com/JqbqOCtBsgHCfVqDE-77gGSRv8B1Vm5Xn5cXZVjGWp-vIDEM07IG6yo6islA2sdLClougkCIxoB9zd_lLgO6WpBVEey0qo0vaApthjBn_PfRvO5vjYN2WH6qzQ65RSJXYXLnVq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24" w:rsidRPr="00C40428" w:rsidRDefault="000A3C24" w:rsidP="000A3C24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noProof/>
                <w:color w:val="990033"/>
                <w:sz w:val="12"/>
                <w:szCs w:val="12"/>
                <w:lang w:eastAsia="cs-CZ"/>
              </w:rPr>
              <w:drawing>
                <wp:inline distT="0" distB="0" distL="0" distR="0" wp14:anchorId="11473FC9" wp14:editId="7566B797">
                  <wp:extent cx="1352550" cy="1343025"/>
                  <wp:effectExtent l="0" t="0" r="0" b="9525"/>
                  <wp:docPr id="16" name="Obrázek 16" descr="https://lh3.googleusercontent.com/M73pzzgrNFaT-VmFvjUbGbKX761sm9s7Nlbd5hzHccGg8PjBFrMOpJ3vr98xhfZH5_sZQ8cQnYX-HwV0iS_zwpAlH7kKueXh-iOuCoeKDXoNSlcADvOYIzuCAcWKivrvNpA0MD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M73pzzgrNFaT-VmFvjUbGbKX761sm9s7Nlbd5hzHccGg8PjBFrMOpJ3vr98xhfZH5_sZQ8cQnYX-HwV0iS_zwpAlH7kKueXh-iOuCoeKDXoNSlcADvOYIzuCAcWKivrvNpA0MD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F2A" w:rsidRDefault="00F74F2A" w:rsidP="00896A9E">
      <w:pPr>
        <w:pStyle w:val="Bezmezer"/>
        <w:rPr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Práce v sedě u PC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poškození zraku vlivem práce u PC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*Pracovní dobu přerušovat každé dvě hodiny od započetí práce bezpečnostní přestávkou v trvání </w:t>
            </w: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 – 10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min.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*Během přestávky nechat odpočinout očím. Např. je na chvíli zavřít nebo pohledem do zeleně.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 xml:space="preserve">Riziko poškození zdraví vlivem práce s klávesnicí 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cs-CZ"/>
              </w:rPr>
              <w:t>(např. syndrom karpálního tunelu apod.)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*Vybavit zaměstnance vhodnou ergonomickou klávesnici.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*Nepoužívat podpěrné nožky klávesnice, které klávesnici nakloní směrem k uživateli a způsobí zalomení zápěstí.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*Mít dostatečně prostorný stůl, který umožní vhodnou polohu klávesnice a její pohodlnou obsluhu včetně podepření rukou.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 xml:space="preserve">Riziko poškození zdraví vlivem práce s myší 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i/>
                <w:iCs/>
                <w:color w:val="C00000"/>
                <w:sz w:val="20"/>
                <w:szCs w:val="20"/>
                <w:lang w:eastAsia="cs-CZ"/>
              </w:rPr>
              <w:t>(např. syndrom karpálního tunelu apod.)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*Vybavit zaměstnance vhodnou ergonomickou myší.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*Klasické myší nahrazovat vertikálními myšmi.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*Zajistit, aby měli zaměstnanci dostatečně prostorný stůl pro pohodlnou obsluhu myši.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*Vybavit zaměstnance vhodnými podložkami pod myš s opěrkou zápěstí.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*Provádět pravidelné cvičení zápěstí, k předcházení syndromu karpálního tunelu.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lastRenderedPageBreak/>
              <w:t>Riziko zakopnutí o prodlužovací nebo přívodní kabel (zejména PC)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*Přívodní a prodlužovací kabely od PC a jeho peripetií mít pod stolem a v jeho okolí uspořádány a organizovány tak, aby nebyly zdrojem rizika zakopnutí nebo zamotání se do nich a následného pádu a tím současně, aby nedocházelo k poškozování těchto vodičů mechanickým působením nohou pracovníků.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*Prodlužovací kabely vést vždy tak, aby nebyly překážkou chůzi osob, aby </w:t>
            </w:r>
            <w:proofErr w:type="gramStart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byly</w:t>
            </w:r>
            <w:proofErr w:type="gramEnd"/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pokud možno rovné, nepřekroucené a nikdy nevysely přes cestu. 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vzniku požáru PC a následných úrazů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 provádění pravidelné a včasné údržby a čištění používaných PC, zejména pokud jsou umístěny na zemi, pod stolem a jsou tak silně ohroženy prachem.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časté samovolné restartování nebo vypínání se PC může signalizovat jeho přehřívání, jehož příčinou může být právě nadbytek prachu uvnitř PC)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úrazu elektrickým proudem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*Nerozdělávat ochranné kryty elektrických zařízení, včetně krytů PC, jeho peripetií, skartovačky, stropních svítidel apod.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*Bez odborné způsobilosti v elektrotechnice </w:t>
            </w:r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 xml:space="preserve">(alespoň dle § 5, vyhlášky č. 50/1978 Sb., </w:t>
            </w:r>
            <w:proofErr w:type="spellStart"/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úz</w:t>
            </w:r>
            <w:proofErr w:type="spellEnd"/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neprovádět práce na elektrických zařízeních, včetně např. výměny hardware u PC.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*Údržbu zařízení </w:t>
            </w:r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tiskárna, skartovačka, kávovar apod.)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, provádět vždy v souladu s pokyny výrobce </w:t>
            </w:r>
            <w:r w:rsidRPr="00C4042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(dle návodu výrobce)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:rsidR="00896A9E" w:rsidRPr="00A421BE" w:rsidRDefault="00896A9E" w:rsidP="00896A9E">
      <w:pPr>
        <w:pStyle w:val="Bezmezer"/>
        <w:rPr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Obsluha skartovačky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vzniku úrazu při obsluze skartovačky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*Seznámit zaměstnance obsluhující skartovačku s návodem k obsluze výrobce.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*Dodržovat pokyny uvedené v návodu výrobce</w:t>
            </w:r>
            <w:r w:rsidR="002546E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(neobsluhovat skartovačku s vázankou, dlouhými rukávy, řetízky apod.)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*Neprovádět skartaci s volnými částmi oděvu </w:t>
            </w:r>
            <w:r w:rsidRPr="00C404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(např. volné rukávy, vázanka, halenka apod.)</w:t>
            </w: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nebo s volnými dlouhými vlasy.</w:t>
            </w:r>
          </w:p>
        </w:tc>
      </w:tr>
    </w:tbl>
    <w:p w:rsidR="00896A9E" w:rsidRPr="00A421BE" w:rsidRDefault="00896A9E" w:rsidP="00896A9E">
      <w:pPr>
        <w:pStyle w:val="Bezmezer"/>
        <w:rPr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Obsluha tiskárny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úrazu elektrickým proudem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*Seznámit zaměstnance obsluhující tiskárny s návodem k obsluze výrobce.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*Dodržovat pokyny uvedené v návodu výrobce.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*Zásahy a údržbu tiskárny provádět vždy při vypnutém stavu a nejdříve po odpojení tiskárny od zdroje elektrického proudu. Výjimkou je postup při údržbě tiskárny prováděný v souladu s pokyny výrobce.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*Vybavit zaměstnance, kteří provádějí výměnu náplní tiskáren, pracovními ochrannými rukavicemi proti chemickým rizikům. </w:t>
            </w:r>
          </w:p>
          <w:p w:rsidR="00896A9E" w:rsidRPr="00C40428" w:rsidRDefault="00896A9E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40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*Zajistit, aby při výměně náplní tiskáren zaměstnanci používali stanovené pracovní rukavice.</w:t>
            </w:r>
          </w:p>
        </w:tc>
      </w:tr>
    </w:tbl>
    <w:p w:rsidR="00896A9E" w:rsidRPr="00A421BE" w:rsidRDefault="00896A9E" w:rsidP="00896A9E">
      <w:pPr>
        <w:pStyle w:val="Bezmezer"/>
        <w:rPr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Obsluha rychlovarné konvice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A421BE" w:rsidRDefault="00896A9E" w:rsidP="00AA3275">
            <w:pPr>
              <w:pStyle w:val="Bezmez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A421B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Riziko vzniku požáru rychlovarné konvice a následných úrazů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*Seznámit zaměstnance s návodem k obsluze rychlovarné konvice.</w:t>
            </w:r>
          </w:p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*Dodržovat pokyny uvedené v návodu výrobce.</w:t>
            </w:r>
          </w:p>
          <w:p w:rsidR="00896A9E" w:rsidRPr="00A421BE" w:rsidRDefault="00896A9E" w:rsidP="00AA3275">
            <w:pPr>
              <w:pStyle w:val="Bezmezer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 použití rychlovarnou konvici odpojit od zdroje el. proudu.</w:t>
            </w:r>
          </w:p>
        </w:tc>
      </w:tr>
    </w:tbl>
    <w:p w:rsidR="00A421BE" w:rsidRDefault="00A421BE" w:rsidP="00896A9E">
      <w:pPr>
        <w:pStyle w:val="Bezmezer"/>
        <w:rPr>
          <w:sz w:val="20"/>
          <w:szCs w:val="20"/>
          <w:lang w:eastAsia="cs-CZ"/>
        </w:rPr>
      </w:pPr>
    </w:p>
    <w:p w:rsidR="00353290" w:rsidRDefault="00353290">
      <w:pPr>
        <w:spacing w:after="160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br w:type="page"/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353290" w:rsidRPr="00C40428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290" w:rsidRPr="00C40428" w:rsidRDefault="00353290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Kouření a užívání jiných návykových látek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Pr="00C40428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 xml:space="preserve">Požární rizika plynoucí z kouření 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Pr="00C40428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*Stanovit zaměstnancům – kuřákům – vhodné místo ke kouření a toto vybavit vhodným popelníkem. Technické provedení popelníku musí zabránit, aby se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žhavíky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nebo i celé nedopalky z popelníku dostali ven, např. poryvem větru.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kouření pro nekuřáky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*Místo určené ke kouření umístit tak, aby se v blízkosti tohoto místa nevyskytovali nekuřáci a aby tito nemohli být vystaveni účinkům kouření.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kouření pro kuřáky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2676525" y="2847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37260" cy="1323975"/>
                  <wp:effectExtent l="0" t="0" r="0" b="0"/>
                  <wp:wrapSquare wrapText="bothSides"/>
                  <wp:docPr id="21" name="Obrázek 21" descr="VÃ½sledek obrÃ¡zku pro mÃ­sto urÄenÃ© ke kouÅenÃ­ tabu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Ã½sledek obrÃ¡zku pro mÃ­sto urÄenÃ© ke kouÅenÃ­ tabu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44" cy="133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*Označit místo určené ke kouření bezpečnostní tabulkou: „Kouření povoleno. Kouření vážně škodí Vám i lidem ve vašem okolí“, viz obrázek.</w:t>
            </w:r>
          </w:p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  <w:p w:rsidR="00353290" w:rsidRDefault="00353290" w:rsidP="00AA327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*Vytvářet takovou firemní kulturu, aby si kuřáci uvědomovali svou závislost a zdravotní rizika z ní plynoucí a byli tlačeni k tomu, přestat kouřit. </w:t>
            </w:r>
          </w:p>
        </w:tc>
      </w:tr>
      <w:tr w:rsidR="00353290" w:rsidRPr="00C40428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Rizika plynoucí z alkoholu a jiných návykových látek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*Vytvořit ve firmě takové podmínky, aby v případě potřeby bylo možné provést orientační dechovou zkoušku na přítomnost alkoholu v dechu zaměstnance, případně podezřelou osobu transportovat na odborné vyšetření </w:t>
            </w:r>
            <w:r w:rsidRPr="00353290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z krve, slin či moči)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353290" w:rsidRDefault="00353290" w:rsidP="0035329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*V případě podezření na přítomnost alkoholu nebo jiných návykových látek, provádět orientační zkoušky nebo odborná vyšetření.</w:t>
            </w:r>
          </w:p>
        </w:tc>
      </w:tr>
    </w:tbl>
    <w:p w:rsidR="00A421BE" w:rsidRDefault="00A421BE" w:rsidP="00353290">
      <w:pPr>
        <w:pStyle w:val="Bezmezer"/>
        <w:rPr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96A9E" w:rsidRPr="00A421BE" w:rsidTr="00AA3275">
        <w:trPr>
          <w:cantSplit/>
          <w:trHeight w:val="15"/>
        </w:trPr>
        <w:tc>
          <w:tcPr>
            <w:tcW w:w="0" w:type="auto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A9E" w:rsidRPr="00C40428" w:rsidRDefault="00896A9E" w:rsidP="00AA327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421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rizika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z výšky nebo do hloubky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*Vybavení pracovníků(nic) prostředky určenými ke zvýšení místa práce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(schůdky s opěrným horním madlem)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pro pohodlné a bezpečné provádění prací ve výškách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 xml:space="preserve"> (např. nutnost podat předměty z vysokých polic, věšení obrázku či dekorací apod.)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*Nepoužívat ke zvýšení místa práce nedovolené prostředky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židle, stoly, radiátory, parapety, kbelíky apod.)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uklouznutí osob na předmětech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 pravidelný úklid kancelářských prostor.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administrativní pracovníky, aby neponechávali spadené předměty, které mohou způsobit zakopnutí, uklouznutí a tím i pád na zemi.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Těmito předměty jsou zejména propisky, pravítka, euro obaly a složky apod.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zakopnutí o šuplík a následný pád a vznik úrazu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zaměstnance o nutnosti neponechávat šuplíky v otevřené poloze.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osob a vznik úrazu z důvodu sedu na nedovolených prostředcích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*Poučit zaměstnance o zákazu sedat si na prostředky, které k tomuto nejsou určeny, zejména stoly, radiátory apod.</w:t>
            </w:r>
          </w:p>
          <w:p w:rsidR="00A421BE" w:rsidRPr="00896A9E" w:rsidRDefault="00A421B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*Zákaz kopírování částí těla na kopírkách.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pořezání se o střepy (sklo, keramika apod.)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*Nesbírat střepy rukama. Využít úklidových prostředk</w:t>
            </w:r>
            <w:r w:rsidR="00A421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ů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(např. smetáček s lopatkou)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96A9E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lastRenderedPageBreak/>
              <w:t>Riziko uklouznutí a následného pádu při mytí a pohybu po vlhké podlaze.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625A52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46355</wp:posOffset>
                  </wp:positionV>
                  <wp:extent cx="647700" cy="1009650"/>
                  <wp:effectExtent l="0" t="0" r="0" b="0"/>
                  <wp:wrapSquare wrapText="bothSides"/>
                  <wp:docPr id="20" name="Obrázek 20" descr="https://lh3.googleusercontent.com/CfYnUjLxZnwsNilMfGg4JQEhgAI4wR6yjybrdgdF_gqcDfo_nAZ_h32Qr_DvAfnqwlvNMzl2curNPPEMYQt9v9fWPC21hikoTsy8tG6u3frzKnN63k8DsLo0umr9pYdyq-tt9P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3.googleusercontent.com/CfYnUjLxZnwsNilMfGg4JQEhgAI4wR6yjybrdgdF_gqcDfo_nAZ_h32Qr_DvAfnqwlvNMzl2curNPPEMYQt9v9fWPC21hikoTsy8tG6u3frzKnN63k8DsLo0umr9pYdyq-tt9P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*Zajistit, aby pracovnice úklidu upozornily osoby v objektu na přítomnost vlhké a kluzké podlahy příslušnou bezpečnostní cedulí: „Pozor! Kluzká podlaha!“</w:t>
            </w:r>
          </w:p>
          <w:p w:rsidR="00896A9E" w:rsidRPr="00896A9E" w:rsidRDefault="00896A9E" w:rsidP="00896A9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*Cedule umísťovat tak, aby všechny osoby vcházející na místo kluzké podlahy, byly na toto riziko upozorněny </w:t>
            </w:r>
            <w:r w:rsidRPr="00896A9E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cs-CZ"/>
              </w:rPr>
              <w:t>(ze všech směrů)</w:t>
            </w:r>
            <w:r w:rsidRPr="00896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093E74" w:rsidRPr="00A421BE" w:rsidTr="00AA3275">
        <w:trPr>
          <w:cantSplit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E74" w:rsidRPr="00896A9E" w:rsidRDefault="00093E74" w:rsidP="00896A9E">
            <w:pPr>
              <w:spacing w:line="240" w:lineRule="auto"/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C00000"/>
                <w:sz w:val="20"/>
                <w:szCs w:val="20"/>
                <w:lang w:eastAsia="cs-CZ"/>
              </w:rPr>
              <w:t>Riziko pádu na schodech</w:t>
            </w:r>
          </w:p>
        </w:tc>
        <w:tc>
          <w:tcPr>
            <w:tcW w:w="6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11B" w:rsidRPr="00A421BE" w:rsidRDefault="00093E74" w:rsidP="00896A9E">
            <w:pPr>
              <w:spacing w:line="240" w:lineRule="auto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cs-CZ"/>
              </w:rPr>
              <w:t>*Po schodech neběhat, přidržovat se vždy zábradlí.</w:t>
            </w:r>
          </w:p>
        </w:tc>
      </w:tr>
    </w:tbl>
    <w:p w:rsidR="00896A9E" w:rsidRPr="00A421BE" w:rsidRDefault="00896A9E" w:rsidP="000A3C2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1527"/>
        <w:gridCol w:w="3389"/>
        <w:gridCol w:w="1979"/>
      </w:tblGrid>
      <w:tr w:rsidR="000A3C24" w:rsidRPr="00A421BE" w:rsidTr="000A3C24">
        <w:trPr>
          <w:trHeight w:val="414"/>
        </w:trPr>
        <w:tc>
          <w:tcPr>
            <w:tcW w:w="9062" w:type="dxa"/>
            <w:gridSpan w:val="4"/>
            <w:shd w:val="clear" w:color="auto" w:fill="BDD6EE" w:themeFill="accent5" w:themeFillTint="66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F. Záznam o autorizaci karty hodnocení rizik</w:t>
            </w:r>
          </w:p>
        </w:tc>
      </w:tr>
      <w:tr w:rsidR="000A3C24" w:rsidRPr="00A421BE" w:rsidTr="007F7BB0">
        <w:trPr>
          <w:trHeight w:val="420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bottom w:val="nil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389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979" w:type="dxa"/>
            <w:tcBorders>
              <w:left w:val="single" w:sz="4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Podpis</w:t>
            </w: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527" w:type="dxa"/>
            <w:tcBorders>
              <w:top w:val="nil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B75D6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28.10.2018</w:t>
            </w:r>
          </w:p>
        </w:tc>
        <w:tc>
          <w:tcPr>
            <w:tcW w:w="3389" w:type="dxa"/>
            <w:tcBorders>
              <w:top w:val="nil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252113" w:rsidRDefault="00B75D64" w:rsidP="000A3C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r w:rsidRPr="00252113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Ing. Vít Hofman |</w:t>
            </w:r>
            <w:r w:rsidR="00252113" w:rsidRPr="00252113">
              <w:rPr>
                <w:rFonts w:asciiTheme="majorHAnsi" w:hAnsiTheme="majorHAnsi" w:cstheme="majorHAnsi"/>
                <w:sz w:val="20"/>
                <w:szCs w:val="20"/>
              </w:rPr>
              <w:t>BOZPkestazeni.cz</w:t>
            </w:r>
            <w:bookmarkEnd w:id="0"/>
          </w:p>
        </w:tc>
        <w:tc>
          <w:tcPr>
            <w:tcW w:w="1979" w:type="dxa"/>
            <w:tcBorders>
              <w:top w:val="nil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Autorizoval (OZO)</w:t>
            </w:r>
            <w:r w:rsidRPr="00A421BE">
              <w:rPr>
                <w:rStyle w:val="Znakapoznpodarou"/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footnoteReference w:id="2"/>
            </w: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52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B75D64">
        <w:trPr>
          <w:trHeight w:hRule="exact" w:val="567"/>
        </w:trPr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Schválil a vydal:</w:t>
            </w:r>
          </w:p>
        </w:tc>
        <w:tc>
          <w:tcPr>
            <w:tcW w:w="152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dotted" w:sz="4" w:space="0" w:color="808080" w:themeColor="background1" w:themeShade="80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0A3C24" w:rsidRPr="00A421BE" w:rsidTr="007F7BB0"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A3C24" w:rsidRPr="00A421BE" w:rsidRDefault="000A3C24" w:rsidP="000A3C24">
            <w:pPr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dotted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dotted" w:sz="4" w:space="0" w:color="808080" w:themeColor="background1" w:themeShade="80"/>
              <w:left w:val="single" w:sz="48" w:space="0" w:color="FFFFFF" w:themeColor="background1"/>
            </w:tcBorders>
            <w:vAlign w:val="center"/>
          </w:tcPr>
          <w:p w:rsidR="000A3C24" w:rsidRPr="00A421BE" w:rsidRDefault="000A3C24" w:rsidP="000A3C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</w:tbl>
    <w:p w:rsidR="000A3C24" w:rsidRDefault="000A3C24" w:rsidP="000A3C2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1554"/>
      </w:tblGrid>
      <w:tr w:rsidR="005E7E97" w:rsidRPr="00A421BE" w:rsidTr="00057501">
        <w:trPr>
          <w:trHeight w:val="414"/>
        </w:trPr>
        <w:tc>
          <w:tcPr>
            <w:tcW w:w="9062" w:type="dxa"/>
            <w:gridSpan w:val="4"/>
            <w:shd w:val="clear" w:color="auto" w:fill="BDD6EE" w:themeFill="accent5" w:themeFillTint="66"/>
            <w:vAlign w:val="center"/>
          </w:tcPr>
          <w:p w:rsidR="005E7E97" w:rsidRPr="00A421BE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G</w:t>
            </w:r>
            <w:r w:rsidRPr="00A421B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 xml:space="preserve">. Záznam o 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seznámení zaměstnanců s riziky a přijatými opatřeními</w:t>
            </w:r>
          </w:p>
        </w:tc>
      </w:tr>
      <w:tr w:rsidR="005E7E97" w:rsidRPr="00A421BE" w:rsidTr="005E7E97">
        <w:trPr>
          <w:trHeight w:val="414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</w:pP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*Prohlášení seznámené</w:t>
            </w:r>
            <w: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(</w:t>
            </w: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ho</w:t>
            </w:r>
            <w:r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)</w:t>
            </w:r>
          </w:p>
          <w:p w:rsidR="005E7E97" w:rsidRPr="005E7E97" w:rsidRDefault="005E7E97" w:rsidP="005E7E97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Svým podpisem níže v tabulce prohlašuji, že jsem byl(a) na řádku s mým podpisem uvedeného data řádně seznámen(a) s vyhodnocenými riziky a přijatými opatřeními proti jejich působení v rozsahu této karty hodnocení rizik, že si rizika mé práce uvědomuji a že přijatým opatřením rozumím a budu je při práci respektovat a dodržovat. Dále svým podpisem prohlašuji, že k rizikům ani opatřením nemám žádných připomínek či dotazů.</w:t>
            </w: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Datum seznámení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 xml:space="preserve">Jméno a příjmení </w:t>
            </w:r>
          </w:p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seznámeného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5E7E97">
              <w:rPr>
                <w:rFonts w:asciiTheme="majorHAnsi" w:eastAsia="Times New Roman" w:hAnsiTheme="majorHAnsi" w:cstheme="majorHAnsi"/>
                <w:b/>
                <w:color w:val="C00000"/>
                <w:sz w:val="20"/>
                <w:szCs w:val="20"/>
                <w:lang w:eastAsia="cs-CZ"/>
              </w:rPr>
              <w:t>Podpis seznámeného*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Podpis seznamujícího</w:t>
            </w: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  <w:tr w:rsidR="005E7E97" w:rsidRPr="00A421BE" w:rsidTr="005E7E97">
        <w:trPr>
          <w:trHeight w:val="414"/>
        </w:trPr>
        <w:tc>
          <w:tcPr>
            <w:tcW w:w="1413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7E97" w:rsidRDefault="005E7E97" w:rsidP="0005750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</w:p>
        </w:tc>
      </w:tr>
    </w:tbl>
    <w:p w:rsidR="005E7E97" w:rsidRDefault="005E7E97" w:rsidP="005E7E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E7E9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73" w:rsidRDefault="00304773" w:rsidP="00C40428">
      <w:pPr>
        <w:spacing w:line="240" w:lineRule="auto"/>
      </w:pPr>
      <w:r>
        <w:separator/>
      </w:r>
    </w:p>
  </w:endnote>
  <w:endnote w:type="continuationSeparator" w:id="0">
    <w:p w:rsidR="00304773" w:rsidRDefault="00304773" w:rsidP="00C4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0A3C24" w:rsidTr="00AA3275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0A3C24" w:rsidTr="00AA3275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6F18AEB" wp14:editId="0B6B3B61">
                <wp:extent cx="647700" cy="2095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:rsidR="000A3C24" w:rsidRDefault="000A3C24" w:rsidP="000A3C24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:rsidR="000A3C24" w:rsidRDefault="00304773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0A3C24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0A3C24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0A3C24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0A3C24" w:rsidRP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 w:rsidRPr="000A3C24">
            <w:rPr>
              <w:rFonts w:cs="Arial"/>
              <w:sz w:val="16"/>
              <w:szCs w:val="16"/>
            </w:rPr>
            <w:t xml:space="preserve">Strana </w:t>
          </w:r>
          <w:r w:rsidRPr="000A3C24">
            <w:rPr>
              <w:sz w:val="16"/>
              <w:szCs w:val="16"/>
            </w:rPr>
            <w:fldChar w:fldCharType="begin"/>
          </w:r>
          <w:r w:rsidRPr="000A3C24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0A3C24">
            <w:rPr>
              <w:sz w:val="16"/>
              <w:szCs w:val="16"/>
            </w:rPr>
            <w:fldChar w:fldCharType="separate"/>
          </w:r>
          <w:r w:rsidRPr="000A3C24">
            <w:rPr>
              <w:sz w:val="16"/>
              <w:szCs w:val="16"/>
            </w:rPr>
            <w:t>1</w:t>
          </w:r>
          <w:r w:rsidRPr="000A3C24">
            <w:rPr>
              <w:sz w:val="16"/>
              <w:szCs w:val="16"/>
            </w:rPr>
            <w:fldChar w:fldCharType="end"/>
          </w:r>
          <w:r w:rsidRPr="000A3C24">
            <w:rPr>
              <w:rFonts w:cs="Arial"/>
              <w:sz w:val="16"/>
              <w:szCs w:val="16"/>
            </w:rPr>
            <w:t>/</w:t>
          </w:r>
          <w:r w:rsidRPr="000A3C24">
            <w:rPr>
              <w:sz w:val="16"/>
              <w:szCs w:val="16"/>
            </w:rPr>
            <w:fldChar w:fldCharType="begin"/>
          </w:r>
          <w:r w:rsidRPr="000A3C24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0A3C24">
            <w:rPr>
              <w:sz w:val="16"/>
              <w:szCs w:val="16"/>
            </w:rPr>
            <w:fldChar w:fldCharType="separate"/>
          </w:r>
          <w:r w:rsidRPr="000A3C24">
            <w:rPr>
              <w:sz w:val="16"/>
              <w:szCs w:val="16"/>
            </w:rPr>
            <w:t>2</w:t>
          </w:r>
          <w:r w:rsidRPr="000A3C24">
            <w:rPr>
              <w:sz w:val="16"/>
              <w:szCs w:val="16"/>
            </w:rPr>
            <w:fldChar w:fldCharType="end"/>
          </w:r>
        </w:p>
        <w:p w:rsidR="000A3C24" w:rsidRDefault="000A3C24" w:rsidP="000A3C2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:rsidR="000A3C24" w:rsidRDefault="000A3C24" w:rsidP="000A3C24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5E7E97"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:rsidR="00C40428" w:rsidRPr="000A3C24" w:rsidRDefault="00C40428" w:rsidP="000A3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73" w:rsidRDefault="00304773" w:rsidP="00C40428">
      <w:pPr>
        <w:spacing w:line="240" w:lineRule="auto"/>
      </w:pPr>
      <w:r>
        <w:separator/>
      </w:r>
    </w:p>
  </w:footnote>
  <w:footnote w:type="continuationSeparator" w:id="0">
    <w:p w:rsidR="00304773" w:rsidRDefault="00304773" w:rsidP="00C40428">
      <w:pPr>
        <w:spacing w:line="240" w:lineRule="auto"/>
      </w:pPr>
      <w:r>
        <w:continuationSeparator/>
      </w:r>
    </w:p>
  </w:footnote>
  <w:footnote w:id="1">
    <w:p w:rsidR="00C40428" w:rsidRDefault="00C404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 = Prach; CH = Nebezpečné chemické látky a směsi; H = Hluk; V = Vibrace; NZ = Neionizující záření; FZ = Fyzická zátěž; PP = Pracovní poloha; ZT = Zátěž teplem;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Zátěž chladem; PZ = Psychická zátěž, ZZ = Zraková zátěž; BČ = Biologické činitele;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ZTl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Práce ve zvýšeném tlaku vzduchu;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Celková kategorie práce.</w:t>
      </w:r>
    </w:p>
  </w:footnote>
  <w:footnote w:id="2">
    <w:p w:rsidR="000A3C24" w:rsidRPr="00A421BE" w:rsidRDefault="000A3C24">
      <w:pPr>
        <w:pStyle w:val="Textpoznpodarou"/>
        <w:rPr>
          <w:sz w:val="16"/>
          <w:szCs w:val="16"/>
        </w:rPr>
      </w:pPr>
      <w:r w:rsidRPr="00A421BE">
        <w:rPr>
          <w:rStyle w:val="Znakapoznpodarou"/>
          <w:sz w:val="16"/>
          <w:szCs w:val="16"/>
        </w:rPr>
        <w:footnoteRef/>
      </w:r>
      <w:r w:rsidRPr="00A421BE">
        <w:rPr>
          <w:sz w:val="16"/>
          <w:szCs w:val="16"/>
        </w:rPr>
        <w:t xml:space="preserve"> V případě, kdy zaměstnavatel musí plnit úkoly prevence rizik prostřednictvím osoby odborně způsobilé k zajišťování úkolů prevence rizik v oblasti bezpečnosti a ochrany zdraví při práci (OZO), viz </w:t>
      </w:r>
      <w:hyperlink r:id="rId1" w:anchor="p9" w:history="1">
        <w:r w:rsidRPr="00A421BE">
          <w:rPr>
            <w:rStyle w:val="Hypertextovodkaz"/>
            <w:sz w:val="16"/>
            <w:szCs w:val="16"/>
          </w:rPr>
          <w:t xml:space="preserve">§ 9, zákona č. 309/2006 Sb., </w:t>
        </w:r>
        <w:proofErr w:type="spellStart"/>
        <w:r w:rsidRPr="00A421BE">
          <w:rPr>
            <w:rStyle w:val="Hypertextovodkaz"/>
            <w:sz w:val="16"/>
            <w:szCs w:val="16"/>
          </w:rPr>
          <w:t>úz</w:t>
        </w:r>
        <w:proofErr w:type="spellEnd"/>
      </w:hyperlink>
      <w:r w:rsidRPr="00A421BE">
        <w:rPr>
          <w:sz w:val="16"/>
          <w:szCs w:val="16"/>
        </w:rPr>
        <w:t>, je vyžadován podpis této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059"/>
      <w:gridCol w:w="3777"/>
    </w:tblGrid>
    <w:tr w:rsidR="00C40428" w:rsidRPr="00093E74" w:rsidTr="00C40428">
      <w:tc>
        <w:tcPr>
          <w:tcW w:w="1134" w:type="dxa"/>
        </w:tcPr>
        <w:p w:rsidR="00C40428" w:rsidRPr="00093E74" w:rsidRDefault="005E7E97">
          <w:pPr>
            <w:pStyle w:val="Zhlav"/>
            <w:rPr>
              <w:rFonts w:asciiTheme="majorHAnsi" w:hAnsiTheme="majorHAnsi" w:cstheme="majorHAnsi"/>
              <w:color w:val="808080" w:themeColor="background1" w:themeShade="80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7171957" wp14:editId="4C341F8F">
                <wp:extent cx="647700" cy="2095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dxa"/>
        </w:tcPr>
        <w:p w:rsidR="00C40428" w:rsidRPr="005E7E97" w:rsidRDefault="00C40428">
          <w:pPr>
            <w:pStyle w:val="Zhlav"/>
            <w:rPr>
              <w:rFonts w:asciiTheme="majorHAnsi" w:hAnsiTheme="majorHAnsi" w:cstheme="majorHAnsi"/>
              <w:b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b/>
              <w:color w:val="A6A6A6" w:themeColor="background1" w:themeShade="A6"/>
              <w:sz w:val="16"/>
              <w:szCs w:val="16"/>
            </w:rPr>
            <w:t>Ing. Vít Hofman | SAW</w:t>
          </w:r>
        </w:p>
        <w:p w:rsidR="00C40428" w:rsidRPr="005E7E97" w:rsidRDefault="00C40428">
          <w:pPr>
            <w:pStyle w:val="Zhlav"/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  <w:t>ROVS/4751/PRE/2016</w:t>
          </w:r>
        </w:p>
        <w:p w:rsidR="00C40428" w:rsidRPr="005E7E97" w:rsidRDefault="00C40428">
          <w:pPr>
            <w:pStyle w:val="Zhlav"/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</w:pPr>
          <w:r w:rsidRPr="005E7E97">
            <w:rPr>
              <w:rFonts w:asciiTheme="majorHAnsi" w:hAnsiTheme="majorHAnsi" w:cstheme="majorHAnsi"/>
              <w:color w:val="A6A6A6" w:themeColor="background1" w:themeShade="A6"/>
              <w:sz w:val="16"/>
              <w:szCs w:val="16"/>
            </w:rPr>
            <w:t>IČ: 020 65 681</w:t>
          </w:r>
        </w:p>
        <w:p w:rsidR="00C40428" w:rsidRPr="005E7E97" w:rsidRDefault="005E7E97" w:rsidP="00C40428">
          <w:pPr>
            <w:pStyle w:val="Zhlav"/>
            <w:rPr>
              <w:rFonts w:asciiTheme="majorHAnsi" w:hAnsiTheme="majorHAnsi" w:cstheme="majorHAnsi"/>
              <w:color w:val="A6A6A6" w:themeColor="background1" w:themeShade="A6"/>
            </w:rPr>
          </w:pPr>
          <w:hyperlink r:id="rId2" w:history="1">
            <w:r w:rsidRPr="005E7E97">
              <w:rPr>
                <w:rStyle w:val="Hypertextovodkaz"/>
                <w:rFonts w:asciiTheme="majorHAnsi" w:hAnsiTheme="majorHAnsi" w:cstheme="majorHAnsi"/>
                <w:color w:val="A6A6A6" w:themeColor="background1" w:themeShade="A6"/>
                <w:sz w:val="16"/>
                <w:szCs w:val="16"/>
              </w:rPr>
              <w:t>w</w:t>
            </w:r>
            <w:r w:rsidRPr="005E7E97">
              <w:rPr>
                <w:rStyle w:val="Hypertextovodkaz"/>
                <w:color w:val="A6A6A6" w:themeColor="background1" w:themeShade="A6"/>
                <w:sz w:val="16"/>
                <w:szCs w:val="16"/>
              </w:rPr>
              <w:t>ww.bozpkestazeni.cz</w:t>
            </w:r>
          </w:hyperlink>
        </w:p>
      </w:tc>
      <w:tc>
        <w:tcPr>
          <w:tcW w:w="3822" w:type="dxa"/>
        </w:tcPr>
        <w:p w:rsidR="00C40428" w:rsidRPr="005E7E97" w:rsidRDefault="00C40428" w:rsidP="00C40428">
          <w:pPr>
            <w:jc w:val="right"/>
            <w:rPr>
              <w:rFonts w:asciiTheme="majorHAnsi" w:eastAsia="Times New Roman" w:hAnsiTheme="majorHAnsi" w:cstheme="majorHAnsi"/>
              <w:color w:val="A6A6A6" w:themeColor="background1" w:themeShade="A6"/>
              <w:sz w:val="24"/>
              <w:szCs w:val="24"/>
              <w:lang w:eastAsia="cs-CZ"/>
            </w:rPr>
          </w:pPr>
          <w:r w:rsidRPr="005E7E97">
            <w:rPr>
              <w:rFonts w:asciiTheme="majorHAnsi" w:eastAsia="Times New Roman" w:hAnsiTheme="majorHAnsi" w:cstheme="majorHAnsi"/>
              <w:color w:val="A6A6A6" w:themeColor="background1" w:themeShade="A6"/>
              <w:sz w:val="16"/>
              <w:szCs w:val="16"/>
              <w:lang w:eastAsia="cs-CZ"/>
            </w:rPr>
            <w:t>Interní označení dokumentu: saw_03a02.1</w:t>
          </w:r>
        </w:p>
        <w:p w:rsidR="00C40428" w:rsidRPr="005E7E97" w:rsidRDefault="00C40428" w:rsidP="00C40428">
          <w:pPr>
            <w:jc w:val="right"/>
            <w:rPr>
              <w:rFonts w:asciiTheme="majorHAnsi" w:eastAsia="Times New Roman" w:hAnsiTheme="majorHAnsi" w:cstheme="majorHAnsi"/>
              <w:color w:val="A6A6A6" w:themeColor="background1" w:themeShade="A6"/>
              <w:sz w:val="24"/>
              <w:szCs w:val="24"/>
              <w:lang w:eastAsia="cs-CZ"/>
            </w:rPr>
          </w:pPr>
          <w:r w:rsidRPr="005E7E97">
            <w:rPr>
              <w:rFonts w:asciiTheme="majorHAnsi" w:eastAsia="Times New Roman" w:hAnsiTheme="majorHAnsi" w:cstheme="majorHAnsi"/>
              <w:color w:val="A6A6A6" w:themeColor="background1" w:themeShade="A6"/>
              <w:sz w:val="16"/>
              <w:szCs w:val="16"/>
              <w:lang w:eastAsia="cs-CZ"/>
            </w:rPr>
            <w:t>Nadřazený dokument: saw_01</w:t>
          </w:r>
        </w:p>
        <w:p w:rsidR="00C40428" w:rsidRPr="005E7E97" w:rsidRDefault="00C40428" w:rsidP="00C40428">
          <w:pPr>
            <w:jc w:val="right"/>
            <w:rPr>
              <w:rFonts w:asciiTheme="majorHAnsi" w:eastAsia="Times New Roman" w:hAnsiTheme="majorHAnsi" w:cstheme="majorHAnsi"/>
              <w:color w:val="A6A6A6" w:themeColor="background1" w:themeShade="A6"/>
              <w:sz w:val="24"/>
              <w:szCs w:val="24"/>
              <w:lang w:eastAsia="cs-CZ"/>
            </w:rPr>
          </w:pPr>
          <w:r w:rsidRPr="005E7E97">
            <w:rPr>
              <w:rFonts w:asciiTheme="majorHAnsi" w:eastAsia="Times New Roman" w:hAnsiTheme="majorHAnsi" w:cstheme="majorHAnsi"/>
              <w:color w:val="A6A6A6" w:themeColor="background1" w:themeShade="A6"/>
              <w:sz w:val="16"/>
              <w:szCs w:val="16"/>
              <w:lang w:eastAsia="cs-CZ"/>
            </w:rPr>
            <w:t>Verze: 2018102801</w:t>
          </w:r>
        </w:p>
        <w:p w:rsidR="00C40428" w:rsidRPr="005E7E97" w:rsidRDefault="00C40428">
          <w:pPr>
            <w:pStyle w:val="Zhlav"/>
            <w:rPr>
              <w:rFonts w:asciiTheme="majorHAnsi" w:hAnsiTheme="majorHAnsi" w:cstheme="majorHAnsi"/>
              <w:color w:val="A6A6A6" w:themeColor="background1" w:themeShade="A6"/>
            </w:rPr>
          </w:pPr>
        </w:p>
      </w:tc>
    </w:tr>
    <w:tr w:rsidR="00C40428" w:rsidRPr="00093E74" w:rsidTr="00C40428">
      <w:tc>
        <w:tcPr>
          <w:tcW w:w="1134" w:type="dxa"/>
        </w:tcPr>
        <w:p w:rsidR="00C40428" w:rsidRPr="00093E74" w:rsidRDefault="00C40428">
          <w:pPr>
            <w:pStyle w:val="Zhlav"/>
            <w:rPr>
              <w:rFonts w:asciiTheme="majorHAnsi" w:hAnsiTheme="majorHAnsi" w:cstheme="maj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4106" w:type="dxa"/>
        </w:tcPr>
        <w:p w:rsidR="00C40428" w:rsidRPr="00093E74" w:rsidRDefault="00C40428">
          <w:pPr>
            <w:pStyle w:val="Zhlav"/>
            <w:rPr>
              <w:rFonts w:asciiTheme="majorHAnsi" w:hAnsiTheme="majorHAnsi" w:cstheme="majorHAnsi"/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3822" w:type="dxa"/>
        </w:tcPr>
        <w:p w:rsidR="00C40428" w:rsidRPr="00093E74" w:rsidRDefault="00C40428" w:rsidP="00C40428">
          <w:pPr>
            <w:jc w:val="right"/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16"/>
              <w:lang w:eastAsia="cs-CZ"/>
            </w:rPr>
          </w:pPr>
        </w:p>
      </w:tc>
    </w:tr>
  </w:tbl>
  <w:p w:rsidR="00C40428" w:rsidRPr="00093E74" w:rsidRDefault="00C40428">
    <w:pPr>
      <w:pStyle w:val="Zhlav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F73"/>
    <w:multiLevelType w:val="multilevel"/>
    <w:tmpl w:val="DB6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3A73"/>
    <w:multiLevelType w:val="multilevel"/>
    <w:tmpl w:val="DB6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8"/>
    <w:rsid w:val="00092BFC"/>
    <w:rsid w:val="00093E74"/>
    <w:rsid w:val="000A3C24"/>
    <w:rsid w:val="001B0A77"/>
    <w:rsid w:val="001C02DB"/>
    <w:rsid w:val="00252113"/>
    <w:rsid w:val="002546E5"/>
    <w:rsid w:val="002831C4"/>
    <w:rsid w:val="002E2EDF"/>
    <w:rsid w:val="00304773"/>
    <w:rsid w:val="00353290"/>
    <w:rsid w:val="005E7E97"/>
    <w:rsid w:val="00657F3C"/>
    <w:rsid w:val="0067011B"/>
    <w:rsid w:val="007F7BB0"/>
    <w:rsid w:val="00802811"/>
    <w:rsid w:val="00896A9E"/>
    <w:rsid w:val="008D1E05"/>
    <w:rsid w:val="00A27BC6"/>
    <w:rsid w:val="00A421BE"/>
    <w:rsid w:val="00B75D64"/>
    <w:rsid w:val="00C40428"/>
    <w:rsid w:val="00C437CE"/>
    <w:rsid w:val="00C648A3"/>
    <w:rsid w:val="00D44FC3"/>
    <w:rsid w:val="00DF7062"/>
    <w:rsid w:val="00EF6D61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9B79C"/>
  <w15:chartTrackingRefBased/>
  <w15:docId w15:val="{2A41433D-F7D8-4B81-99DC-5AD87F9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A9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0428"/>
    <w:rPr>
      <w:color w:val="0000FF"/>
      <w:u w:val="single"/>
    </w:rPr>
  </w:style>
  <w:style w:type="paragraph" w:styleId="Bezmezer">
    <w:name w:val="No Spacing"/>
    <w:uiPriority w:val="1"/>
    <w:qFormat/>
    <w:rsid w:val="00C404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04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428"/>
  </w:style>
  <w:style w:type="paragraph" w:styleId="Zpat">
    <w:name w:val="footer"/>
    <w:basedOn w:val="Normln"/>
    <w:link w:val="ZpatChar"/>
    <w:uiPriority w:val="99"/>
    <w:unhideWhenUsed/>
    <w:rsid w:val="00C404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428"/>
  </w:style>
  <w:style w:type="table" w:styleId="Mkatabulky">
    <w:name w:val="Table Grid"/>
    <w:basedOn w:val="Normlntabulka"/>
    <w:uiPriority w:val="39"/>
    <w:rsid w:val="00C4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4042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42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4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4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1E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E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E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E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6-3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E90D-6AFA-4900-B4D5-3B36451F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</dc:creator>
  <cp:keywords/>
  <dc:description/>
  <cp:lastModifiedBy>SAW</cp:lastModifiedBy>
  <cp:revision>19</cp:revision>
  <dcterms:created xsi:type="dcterms:W3CDTF">2018-10-28T09:17:00Z</dcterms:created>
  <dcterms:modified xsi:type="dcterms:W3CDTF">2018-12-09T10:00:00Z</dcterms:modified>
</cp:coreProperties>
</file>