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B8EE" w14:textId="77777777" w:rsidR="00B57DBB" w:rsidRDefault="00B57DBB">
      <w:pPr>
        <w:rPr>
          <w:sz w:val="2"/>
          <w:szCs w:val="2"/>
        </w:rPr>
      </w:pPr>
    </w:p>
    <w:tbl>
      <w:tblPr>
        <w:tblStyle w:val="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8"/>
        <w:gridCol w:w="268"/>
        <w:gridCol w:w="7981"/>
        <w:gridCol w:w="254"/>
        <w:gridCol w:w="254"/>
      </w:tblGrid>
      <w:tr w:rsidR="00B57DBB" w14:paraId="128298D9" w14:textId="77777777" w:rsidTr="00D80725">
        <w:tc>
          <w:tcPr>
            <w:tcW w:w="26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6E0F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  <w:tc>
          <w:tcPr>
            <w:tcW w:w="26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08FE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  <w:tc>
          <w:tcPr>
            <w:tcW w:w="798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E66A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  <w:tc>
          <w:tcPr>
            <w:tcW w:w="254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714F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  <w:tc>
          <w:tcPr>
            <w:tcW w:w="254" w:type="dxa"/>
            <w:tcBorders>
              <w:top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C6D5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</w:tr>
      <w:tr w:rsidR="00B57DBB" w14:paraId="2BC3D27F" w14:textId="77777777" w:rsidTr="00D80725">
        <w:tc>
          <w:tcPr>
            <w:tcW w:w="268" w:type="dxa"/>
            <w:tcBorders>
              <w:left w:val="nil"/>
              <w:right w:val="single" w:sz="4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6A8A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  <w:tc>
          <w:tcPr>
            <w:tcW w:w="268" w:type="dxa"/>
            <w:tcBorders>
              <w:left w:val="single" w:sz="48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0255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  <w:tc>
          <w:tcPr>
            <w:tcW w:w="798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3453" w14:textId="77777777" w:rsidR="00B57DBB" w:rsidRDefault="0017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swald" w:eastAsia="Oswald" w:hAnsi="Oswald" w:cs="Oswald"/>
                <w:b/>
                <w:color w:val="666666"/>
              </w:rPr>
            </w:pPr>
            <w:r>
              <w:rPr>
                <w:rFonts w:ascii="Oswald" w:eastAsia="Oswald" w:hAnsi="Oswald" w:cs="Oswald"/>
                <w:b/>
                <w:color w:val="666666"/>
              </w:rPr>
              <w:t>DOKUMENTACE BEZPEČNOSTI A OCHRANY ZDRAVÍ PŘI PRÁCI</w:t>
            </w:r>
          </w:p>
        </w:tc>
        <w:tc>
          <w:tcPr>
            <w:tcW w:w="25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0587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  <w:tc>
          <w:tcPr>
            <w:tcW w:w="254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00C7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</w:tr>
      <w:tr w:rsidR="00B57DBB" w14:paraId="655B098D" w14:textId="77777777" w:rsidTr="00D80725">
        <w:tc>
          <w:tcPr>
            <w:tcW w:w="268" w:type="dxa"/>
            <w:tcBorders>
              <w:left w:val="nil"/>
              <w:right w:val="single" w:sz="4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23E3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  <w:tc>
          <w:tcPr>
            <w:tcW w:w="268" w:type="dxa"/>
            <w:tcBorders>
              <w:left w:val="single" w:sz="48" w:space="0" w:color="999999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7575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  <w:tc>
          <w:tcPr>
            <w:tcW w:w="798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F9FA" w14:textId="77777777" w:rsidR="00B57DBB" w:rsidRDefault="0017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swald" w:eastAsia="Oswald" w:hAnsi="Oswald" w:cs="Oswald"/>
                <w:b/>
                <w:color w:val="666666"/>
              </w:rPr>
            </w:pPr>
            <w:r>
              <w:rPr>
                <w:rFonts w:ascii="Oswald" w:eastAsia="Oswald" w:hAnsi="Oswald" w:cs="Oswald"/>
                <w:b/>
                <w:color w:val="666666"/>
              </w:rPr>
              <w:t>PÍSEMNÝ POKYN ZAMĚSTNAVATELE</w:t>
            </w:r>
          </w:p>
        </w:tc>
        <w:tc>
          <w:tcPr>
            <w:tcW w:w="25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9196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  <w:tc>
          <w:tcPr>
            <w:tcW w:w="254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EFF4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666666"/>
              </w:rPr>
            </w:pPr>
          </w:p>
        </w:tc>
      </w:tr>
      <w:tr w:rsidR="00B57DBB" w14:paraId="796ACE37" w14:textId="77777777" w:rsidTr="00D80725">
        <w:trPr>
          <w:trHeight w:val="2295"/>
        </w:trPr>
        <w:tc>
          <w:tcPr>
            <w:tcW w:w="26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62FA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FB39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7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6A7D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FA68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254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15B6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B57DBB" w14:paraId="3BD676A9" w14:textId="77777777" w:rsidTr="00D80725">
        <w:trPr>
          <w:trHeight w:val="2189"/>
        </w:trPr>
        <w:tc>
          <w:tcPr>
            <w:tcW w:w="268" w:type="dxa"/>
            <w:tcBorders>
              <w:left w:val="nil"/>
              <w:right w:val="single" w:sz="48" w:space="0" w:color="1155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611CA" w14:textId="77777777" w:rsidR="00B57DBB" w:rsidRDefault="00B57DBB">
            <w:pPr>
              <w:spacing w:line="240" w:lineRule="auto"/>
              <w:rPr>
                <w:b/>
                <w:color w:val="FFFFFF"/>
                <w:sz w:val="40"/>
                <w:szCs w:val="40"/>
              </w:rPr>
            </w:pPr>
          </w:p>
        </w:tc>
        <w:tc>
          <w:tcPr>
            <w:tcW w:w="268" w:type="dxa"/>
            <w:tcBorders>
              <w:left w:val="single" w:sz="48" w:space="0" w:color="1155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524F5" w14:textId="77777777" w:rsidR="00B57DBB" w:rsidRDefault="00B57DBB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79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7BC25" w14:textId="77777777" w:rsidR="00B57DBB" w:rsidRDefault="00171CCA">
            <w:pPr>
              <w:jc w:val="left"/>
              <w:rPr>
                <w:rFonts w:ascii="Oswald" w:eastAsia="Oswald" w:hAnsi="Oswald" w:cs="Oswald"/>
                <w:b/>
                <w:color w:val="1155CC"/>
                <w:sz w:val="60"/>
                <w:szCs w:val="60"/>
              </w:rPr>
            </w:pPr>
            <w:r>
              <w:rPr>
                <w:rFonts w:ascii="Oswald" w:eastAsia="Oswald" w:hAnsi="Oswald" w:cs="Oswald"/>
                <w:b/>
                <w:color w:val="1155CC"/>
                <w:sz w:val="60"/>
                <w:szCs w:val="60"/>
              </w:rPr>
              <w:t>Stanovení požadavků na OOPP u zaměstnavatele</w:t>
            </w:r>
          </w:p>
        </w:tc>
        <w:tc>
          <w:tcPr>
            <w:tcW w:w="2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9BC12" w14:textId="77777777" w:rsidR="00B57DBB" w:rsidRDefault="00B57DBB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254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0D635" w14:textId="77777777" w:rsidR="00B57DBB" w:rsidRDefault="00B57DBB">
            <w:pPr>
              <w:spacing w:line="240" w:lineRule="auto"/>
              <w:rPr>
                <w:b/>
                <w:color w:val="FFFFFF"/>
                <w:sz w:val="40"/>
                <w:szCs w:val="40"/>
              </w:rPr>
            </w:pPr>
          </w:p>
        </w:tc>
      </w:tr>
      <w:tr w:rsidR="00B57DBB" w14:paraId="433E1960" w14:textId="77777777" w:rsidTr="00D80725">
        <w:trPr>
          <w:trHeight w:val="6180"/>
        </w:trPr>
        <w:tc>
          <w:tcPr>
            <w:tcW w:w="26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0F35" w14:textId="77777777" w:rsidR="00B57DBB" w:rsidRDefault="00B57DBB">
            <w:pPr>
              <w:spacing w:line="240" w:lineRule="auto"/>
            </w:pPr>
          </w:p>
        </w:tc>
        <w:tc>
          <w:tcPr>
            <w:tcW w:w="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279C" w14:textId="77777777" w:rsidR="00B57DBB" w:rsidRDefault="00B57DBB">
            <w:pPr>
              <w:spacing w:line="240" w:lineRule="auto"/>
            </w:pPr>
          </w:p>
        </w:tc>
        <w:tc>
          <w:tcPr>
            <w:tcW w:w="7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9731" w14:textId="77777777" w:rsidR="00B57DBB" w:rsidRDefault="00B57DBB">
            <w:pPr>
              <w:spacing w:line="240" w:lineRule="auto"/>
            </w:pPr>
          </w:p>
        </w:tc>
        <w:tc>
          <w:tcPr>
            <w:tcW w:w="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EEAB" w14:textId="77777777" w:rsidR="00B57DBB" w:rsidRDefault="00B57DBB">
            <w:pPr>
              <w:spacing w:line="240" w:lineRule="auto"/>
            </w:pPr>
          </w:p>
        </w:tc>
        <w:tc>
          <w:tcPr>
            <w:tcW w:w="254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F4FC" w14:textId="77777777" w:rsidR="00B57DBB" w:rsidRDefault="00B57DBB">
            <w:pPr>
              <w:spacing w:line="240" w:lineRule="auto"/>
            </w:pPr>
          </w:p>
        </w:tc>
      </w:tr>
      <w:tr w:rsidR="00B57DBB" w14:paraId="7130E84D" w14:textId="77777777" w:rsidTr="00D80725">
        <w:tc>
          <w:tcPr>
            <w:tcW w:w="268" w:type="dxa"/>
            <w:tcBorders>
              <w:left w:val="nil"/>
              <w:right w:val="single" w:sz="4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49B2" w14:textId="77777777" w:rsidR="00B57DBB" w:rsidRDefault="00B57DBB">
            <w:pPr>
              <w:spacing w:line="240" w:lineRule="auto"/>
              <w:jc w:val="right"/>
              <w:rPr>
                <w:color w:val="FFFFFF"/>
              </w:rPr>
            </w:pPr>
          </w:p>
        </w:tc>
        <w:tc>
          <w:tcPr>
            <w:tcW w:w="268" w:type="dxa"/>
            <w:tcBorders>
              <w:left w:val="single" w:sz="48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18FD" w14:textId="77777777" w:rsidR="00B57DBB" w:rsidRDefault="00B57DBB">
            <w:pPr>
              <w:spacing w:line="240" w:lineRule="auto"/>
              <w:jc w:val="right"/>
              <w:rPr>
                <w:color w:val="FFFFFF"/>
              </w:rPr>
            </w:pPr>
          </w:p>
        </w:tc>
        <w:tc>
          <w:tcPr>
            <w:tcW w:w="798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8E41" w14:textId="77777777" w:rsidR="00B57DBB" w:rsidRDefault="00171CCA">
            <w:pPr>
              <w:spacing w:line="240" w:lineRule="auto"/>
              <w:jc w:val="right"/>
              <w:rPr>
                <w:rFonts w:ascii="Oswald" w:eastAsia="Oswald" w:hAnsi="Oswald" w:cs="Oswald"/>
                <w:b/>
                <w:color w:val="666666"/>
                <w:sz w:val="17"/>
                <w:szCs w:val="17"/>
              </w:rPr>
            </w:pPr>
            <w:r>
              <w:rPr>
                <w:rFonts w:ascii="Oswald" w:eastAsia="Oswald" w:hAnsi="Oswald" w:cs="Oswald"/>
                <w:color w:val="666666"/>
                <w:sz w:val="17"/>
                <w:szCs w:val="17"/>
              </w:rPr>
              <w:t>Interní označení dokumentu:</w:t>
            </w:r>
            <w:r>
              <w:rPr>
                <w:rFonts w:ascii="Oswald" w:eastAsia="Oswald" w:hAnsi="Oswald" w:cs="Oswald"/>
                <w:b/>
                <w:color w:val="666666"/>
                <w:sz w:val="17"/>
                <w:szCs w:val="17"/>
              </w:rPr>
              <w:t xml:space="preserve"> saw_F01.01</w:t>
            </w:r>
          </w:p>
        </w:tc>
        <w:tc>
          <w:tcPr>
            <w:tcW w:w="25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467A" w14:textId="77777777" w:rsidR="00B57DBB" w:rsidRDefault="00B57DBB">
            <w:pPr>
              <w:spacing w:line="240" w:lineRule="auto"/>
              <w:jc w:val="right"/>
              <w:rPr>
                <w:color w:val="FFFFFF"/>
              </w:rPr>
            </w:pPr>
          </w:p>
        </w:tc>
        <w:tc>
          <w:tcPr>
            <w:tcW w:w="254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A1B1" w14:textId="77777777" w:rsidR="00B57DBB" w:rsidRDefault="00B57DBB">
            <w:pPr>
              <w:spacing w:line="240" w:lineRule="auto"/>
              <w:jc w:val="right"/>
              <w:rPr>
                <w:color w:val="FFFFFF"/>
              </w:rPr>
            </w:pPr>
          </w:p>
        </w:tc>
      </w:tr>
      <w:tr w:rsidR="00B57DBB" w14:paraId="2DFADF59" w14:textId="77777777" w:rsidTr="00D80725">
        <w:tc>
          <w:tcPr>
            <w:tcW w:w="268" w:type="dxa"/>
            <w:tcBorders>
              <w:left w:val="nil"/>
              <w:right w:val="single" w:sz="48" w:space="0" w:color="1C45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CC7A" w14:textId="77777777" w:rsidR="00B57DBB" w:rsidRDefault="00B57DBB">
            <w:pPr>
              <w:spacing w:line="240" w:lineRule="auto"/>
              <w:jc w:val="right"/>
              <w:rPr>
                <w:color w:val="FFFFFF"/>
              </w:rPr>
            </w:pPr>
          </w:p>
        </w:tc>
        <w:tc>
          <w:tcPr>
            <w:tcW w:w="268" w:type="dxa"/>
            <w:tcBorders>
              <w:left w:val="single" w:sz="48" w:space="0" w:color="1C4587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63ED" w14:textId="77777777" w:rsidR="00B57DBB" w:rsidRDefault="00B57DBB">
            <w:pPr>
              <w:spacing w:line="240" w:lineRule="auto"/>
              <w:jc w:val="right"/>
              <w:rPr>
                <w:color w:val="FFFFFF"/>
              </w:rPr>
            </w:pPr>
          </w:p>
        </w:tc>
        <w:tc>
          <w:tcPr>
            <w:tcW w:w="7981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3B77" w14:textId="77777777" w:rsidR="00B57DBB" w:rsidRDefault="00171CCA">
            <w:pPr>
              <w:spacing w:line="240" w:lineRule="auto"/>
              <w:jc w:val="right"/>
              <w:rPr>
                <w:rFonts w:ascii="Oswald" w:eastAsia="Oswald" w:hAnsi="Oswald" w:cs="Oswald"/>
                <w:b/>
                <w:color w:val="FFFFFF"/>
                <w:sz w:val="17"/>
                <w:szCs w:val="17"/>
              </w:rPr>
            </w:pPr>
            <w:r>
              <w:rPr>
                <w:rFonts w:ascii="Oswald" w:eastAsia="Oswald" w:hAnsi="Oswald" w:cs="Oswald"/>
                <w:color w:val="FFFFFF"/>
                <w:sz w:val="17"/>
                <w:szCs w:val="17"/>
              </w:rPr>
              <w:t xml:space="preserve">Zpracoval </w:t>
            </w:r>
            <w:r>
              <w:rPr>
                <w:rFonts w:ascii="Oswald" w:eastAsia="Oswald" w:hAnsi="Oswald" w:cs="Oswald"/>
                <w:b/>
                <w:color w:val="FFFFFF"/>
                <w:sz w:val="17"/>
                <w:szCs w:val="17"/>
              </w:rPr>
              <w:t>Ing. Vít Hofman | SAW</w:t>
            </w:r>
          </w:p>
        </w:tc>
        <w:tc>
          <w:tcPr>
            <w:tcW w:w="254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F8D5" w14:textId="77777777" w:rsidR="00B57DBB" w:rsidRDefault="00B57DBB">
            <w:pPr>
              <w:spacing w:line="240" w:lineRule="auto"/>
              <w:jc w:val="right"/>
              <w:rPr>
                <w:color w:val="FFFFFF"/>
              </w:rPr>
            </w:pPr>
          </w:p>
        </w:tc>
        <w:tc>
          <w:tcPr>
            <w:tcW w:w="254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CA7D" w14:textId="77777777" w:rsidR="00B57DBB" w:rsidRDefault="00B57DBB">
            <w:pPr>
              <w:spacing w:line="240" w:lineRule="auto"/>
              <w:jc w:val="right"/>
              <w:rPr>
                <w:color w:val="FFFFFF"/>
              </w:rPr>
            </w:pPr>
          </w:p>
        </w:tc>
      </w:tr>
    </w:tbl>
    <w:p w14:paraId="694ABB2F" w14:textId="77777777" w:rsidR="00B57DBB" w:rsidRDefault="00B57DBB"/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973"/>
        <w:gridCol w:w="3972"/>
      </w:tblGrid>
      <w:tr w:rsidR="00B57DBB" w14:paraId="45534345" w14:textId="77777777" w:rsidTr="00791C15">
        <w:trPr>
          <w:trHeight w:val="25"/>
        </w:trPr>
        <w:tc>
          <w:tcPr>
            <w:tcW w:w="9015" w:type="dxa"/>
            <w:gridSpan w:val="3"/>
            <w:tcBorders>
              <w:top w:val="nil"/>
              <w:left w:val="single" w:sz="48" w:space="0" w:color="6D9EEB"/>
              <w:bottom w:val="nil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EA2A" w14:textId="77777777" w:rsidR="00B57DBB" w:rsidRDefault="0017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lastRenderedPageBreak/>
              <w:t>Základní informace o dokumentu</w:t>
            </w:r>
          </w:p>
        </w:tc>
      </w:tr>
      <w:tr w:rsidR="00B57DBB" w14:paraId="351AEC0E" w14:textId="77777777" w:rsidTr="00D80725">
        <w:trPr>
          <w:trHeight w:val="390"/>
        </w:trPr>
        <w:tc>
          <w:tcPr>
            <w:tcW w:w="2070" w:type="dxa"/>
            <w:tcBorders>
              <w:top w:val="nil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8B34" w14:textId="77777777" w:rsidR="00B57DBB" w:rsidRDefault="00171CC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Zatřídění </w:t>
            </w:r>
          </w:p>
          <w:p w14:paraId="48111B43" w14:textId="77777777" w:rsidR="00B57DBB" w:rsidRDefault="00171CC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dokumentu: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BD38" w14:textId="77777777" w:rsidR="00B57DBB" w:rsidRDefault="00171CCA">
            <w:pPr>
              <w:widowControl w:val="0"/>
            </w:pPr>
            <w:r>
              <w:t xml:space="preserve">Tento dokument je součástí systému dokumentace </w:t>
            </w:r>
            <w:r>
              <w:rPr>
                <w:b/>
              </w:rPr>
              <w:t>bezpečnosti a ochrany zdraví při práci (BOZP)</w:t>
            </w:r>
            <w:r>
              <w:t xml:space="preserve"> společnosti.</w:t>
            </w:r>
          </w:p>
        </w:tc>
      </w:tr>
      <w:tr w:rsidR="00B57DBB" w14:paraId="6285A40D" w14:textId="77777777" w:rsidTr="00D80725">
        <w:trPr>
          <w:trHeight w:val="3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9F57" w14:textId="77777777" w:rsidR="00B57DBB" w:rsidRDefault="00B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A6AB" w14:textId="77777777" w:rsidR="00B57DBB" w:rsidRDefault="0017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swald" w:eastAsia="Oswald" w:hAnsi="Oswald" w:cs="Oswald"/>
                <w:b/>
                <w:color w:val="666666"/>
              </w:rPr>
            </w:pPr>
            <w:r>
              <w:rPr>
                <w:rFonts w:ascii="Oswald" w:eastAsia="Oswald" w:hAnsi="Oswald" w:cs="Oswald"/>
                <w:b/>
                <w:color w:val="666666"/>
              </w:rPr>
              <w:t>Subjekt</w:t>
            </w:r>
          </w:p>
        </w:tc>
        <w:tc>
          <w:tcPr>
            <w:tcW w:w="3972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12" w:space="0" w:color="C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D4B2" w14:textId="77777777" w:rsidR="00B57DBB" w:rsidRDefault="00171CCA">
            <w:pPr>
              <w:widowControl w:val="0"/>
              <w:jc w:val="left"/>
              <w:rPr>
                <w:rFonts w:ascii="Oswald" w:eastAsia="Oswald" w:hAnsi="Oswald" w:cs="Oswald"/>
                <w:b/>
                <w:color w:val="666666"/>
              </w:rPr>
            </w:pPr>
            <w:r>
              <w:rPr>
                <w:rFonts w:ascii="Oswald" w:eastAsia="Oswald" w:hAnsi="Oswald" w:cs="Oswald"/>
                <w:b/>
                <w:color w:val="666666"/>
              </w:rPr>
              <w:t>Pracoviště</w:t>
            </w:r>
          </w:p>
        </w:tc>
      </w:tr>
      <w:tr w:rsidR="00B57DBB" w14:paraId="4A80906E" w14:textId="77777777" w:rsidTr="00D80725">
        <w:trPr>
          <w:trHeight w:val="3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7C70" w14:textId="77777777" w:rsidR="00B57DBB" w:rsidRDefault="00171CC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Místo a rozsah účinnosti: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95E1" w14:textId="3077C2C8" w:rsidR="00B57DBB" w:rsidRDefault="00D80725">
            <w:pPr>
              <w:rPr>
                <w:b/>
              </w:rPr>
            </w:pPr>
            <w:commentRangeStart w:id="0"/>
            <w:r>
              <w:rPr>
                <w:b/>
              </w:rPr>
              <w:t xml:space="preserve">Bezpečná </w:t>
            </w:r>
            <w:r w:rsidR="00171CCA">
              <w:rPr>
                <w:b/>
              </w:rPr>
              <w:t>s.r.o.</w:t>
            </w:r>
          </w:p>
          <w:p w14:paraId="2FF78D44" w14:textId="641E588E" w:rsidR="00B57DBB" w:rsidRDefault="00D80725">
            <w:r>
              <w:t>Bez Úrazu 239</w:t>
            </w:r>
          </w:p>
          <w:p w14:paraId="46F329D7" w14:textId="43430733" w:rsidR="00B57DBB" w:rsidRDefault="00D80725">
            <w:r>
              <w:t xml:space="preserve">666 04 </w:t>
            </w:r>
            <w:proofErr w:type="spellStart"/>
            <w:r>
              <w:t>Přilbov</w:t>
            </w:r>
            <w:proofErr w:type="spellEnd"/>
          </w:p>
          <w:p w14:paraId="79990986" w14:textId="250860E8" w:rsidR="00B57DBB" w:rsidRDefault="00171CCA">
            <w:r>
              <w:t xml:space="preserve">IČ: </w:t>
            </w:r>
            <w:r w:rsidR="00D80725">
              <w:t>111 22 333</w:t>
            </w:r>
            <w:commentRangeEnd w:id="0"/>
            <w:r w:rsidR="00791C15">
              <w:rPr>
                <w:rStyle w:val="Odkaznakoment"/>
              </w:rPr>
              <w:commentReference w:id="0"/>
            </w:r>
          </w:p>
        </w:tc>
        <w:tc>
          <w:tcPr>
            <w:tcW w:w="3972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382" w14:textId="77777777" w:rsidR="00B57DBB" w:rsidRDefault="00171CCA">
            <w:r>
              <w:t>Všechna pracoviště společnosti</w:t>
            </w:r>
          </w:p>
          <w:p w14:paraId="0A03AFEB" w14:textId="77777777" w:rsidR="00B57DBB" w:rsidRDefault="00171CCA">
            <w:r>
              <w:rPr>
                <w:i/>
              </w:rPr>
              <w:t>(podrobněji viz kapitola 1.2)</w:t>
            </w:r>
          </w:p>
        </w:tc>
      </w:tr>
    </w:tbl>
    <w:p w14:paraId="41319F6E" w14:textId="77777777" w:rsidR="00B57DBB" w:rsidRDefault="00B57DBB"/>
    <w:p w14:paraId="27BE2624" w14:textId="77777777" w:rsidR="00B57DBB" w:rsidRDefault="00B57DBB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1635"/>
        <w:gridCol w:w="2985"/>
        <w:gridCol w:w="2294"/>
      </w:tblGrid>
      <w:tr w:rsidR="00B57DBB" w14:paraId="01FFFC37" w14:textId="7777777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EB20" w14:textId="77777777" w:rsidR="00B57DBB" w:rsidRDefault="00B57DBB">
            <w:pPr>
              <w:widowControl w:val="0"/>
              <w:spacing w:line="240" w:lineRule="auto"/>
              <w:jc w:val="left"/>
              <w:rPr>
                <w:color w:val="66666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FF5F" w14:textId="77777777" w:rsidR="00B57DBB" w:rsidRDefault="00171CCA">
            <w:pPr>
              <w:widowControl w:val="0"/>
              <w:spacing w:line="240" w:lineRule="auto"/>
              <w:jc w:val="left"/>
              <w:rPr>
                <w:rFonts w:ascii="Oswald" w:eastAsia="Oswald" w:hAnsi="Oswald" w:cs="Oswald"/>
                <w:b/>
                <w:color w:val="666666"/>
              </w:rPr>
            </w:pPr>
            <w:r>
              <w:rPr>
                <w:rFonts w:ascii="Oswald" w:eastAsia="Oswald" w:hAnsi="Oswald" w:cs="Oswald"/>
                <w:b/>
                <w:color w:val="666666"/>
              </w:rPr>
              <w:t>Kdo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A3B1" w14:textId="77777777" w:rsidR="00B57DBB" w:rsidRDefault="00B57DBB">
            <w:pPr>
              <w:widowControl w:val="0"/>
              <w:spacing w:line="240" w:lineRule="auto"/>
              <w:jc w:val="left"/>
              <w:rPr>
                <w:rFonts w:ascii="Oswald" w:eastAsia="Oswald" w:hAnsi="Oswald" w:cs="Oswald"/>
                <w:b/>
                <w:color w:val="66666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C8BE" w14:textId="77777777" w:rsidR="00B57DBB" w:rsidRDefault="00171CCA">
            <w:pPr>
              <w:widowControl w:val="0"/>
              <w:spacing w:line="240" w:lineRule="auto"/>
              <w:jc w:val="left"/>
              <w:rPr>
                <w:rFonts w:ascii="Oswald" w:eastAsia="Oswald" w:hAnsi="Oswald" w:cs="Oswald"/>
                <w:b/>
                <w:color w:val="666666"/>
              </w:rPr>
            </w:pPr>
            <w:r>
              <w:rPr>
                <w:rFonts w:ascii="Oswald" w:eastAsia="Oswald" w:hAnsi="Oswald" w:cs="Oswald"/>
                <w:b/>
                <w:color w:val="666666"/>
              </w:rPr>
              <w:t>Datum a podpis</w:t>
            </w:r>
          </w:p>
        </w:tc>
      </w:tr>
      <w:tr w:rsidR="00B57DBB" w14:paraId="2EB1660D" w14:textId="77777777">
        <w:tc>
          <w:tcPr>
            <w:tcW w:w="2115" w:type="dxa"/>
            <w:tcBorders>
              <w:top w:val="nil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7FA1" w14:textId="77777777" w:rsidR="00B57DBB" w:rsidRDefault="00171CCA">
            <w:pPr>
              <w:widowControl w:val="0"/>
              <w:spacing w:line="240" w:lineRule="auto"/>
              <w:jc w:val="right"/>
              <w:rPr>
                <w:color w:val="666666"/>
              </w:rPr>
            </w:pPr>
            <w:r>
              <w:rPr>
                <w:color w:val="666666"/>
              </w:rPr>
              <w:t>Návrh dokumentu připravil:</w:t>
            </w:r>
          </w:p>
        </w:tc>
        <w:tc>
          <w:tcPr>
            <w:tcW w:w="1635" w:type="dxa"/>
            <w:tcBorders>
              <w:top w:val="nil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1F6E" w14:textId="77777777" w:rsidR="00B57DBB" w:rsidRDefault="00171CCA">
            <w:pPr>
              <w:widowControl w:val="0"/>
              <w:spacing w:line="240" w:lineRule="auto"/>
              <w:jc w:val="left"/>
            </w:pPr>
            <w:r>
              <w:rPr>
                <w:noProof/>
              </w:rPr>
              <w:drawing>
                <wp:anchor distT="57150" distB="57150" distL="57150" distR="57150" simplePos="0" relativeHeight="251658240" behindDoc="0" locked="0" layoutInCell="1" hidden="0" allowOverlap="1" wp14:anchorId="03EC6E20" wp14:editId="20496B5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61810</wp:posOffset>
                  </wp:positionV>
                  <wp:extent cx="838200" cy="314325"/>
                  <wp:effectExtent l="0" t="0" r="0" b="0"/>
                  <wp:wrapSquare wrapText="bothSides" distT="57150" distB="57150" distL="57150" distR="5715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8492" w14:textId="77777777" w:rsidR="00B57DBB" w:rsidRDefault="00171CCA">
            <w:pPr>
              <w:widowControl w:val="0"/>
              <w:spacing w:line="240" w:lineRule="auto"/>
              <w:jc w:val="left"/>
              <w:rPr>
                <w:rFonts w:ascii="Oswald" w:eastAsia="Oswald" w:hAnsi="Oswald" w:cs="Oswald"/>
                <w:b/>
              </w:rPr>
            </w:pPr>
            <w:commentRangeStart w:id="1"/>
            <w:r>
              <w:rPr>
                <w:rFonts w:ascii="Oswald" w:eastAsia="Oswald" w:hAnsi="Oswald" w:cs="Oswald"/>
                <w:b/>
              </w:rPr>
              <w:t>Ing. Vít Hofman | SAW</w:t>
            </w:r>
          </w:p>
          <w:p w14:paraId="3D20A510" w14:textId="77777777" w:rsidR="00B57DBB" w:rsidRDefault="00171CCA">
            <w:pPr>
              <w:widowControl w:val="0"/>
              <w:spacing w:line="240" w:lineRule="auto"/>
              <w:jc w:val="left"/>
            </w:pPr>
            <w:r>
              <w:t>ROVS/4751/PRE/2016</w:t>
            </w:r>
          </w:p>
          <w:p w14:paraId="2869305B" w14:textId="77777777" w:rsidR="00B57DBB" w:rsidRDefault="00171CCA">
            <w:pPr>
              <w:widowControl w:val="0"/>
              <w:spacing w:line="240" w:lineRule="auto"/>
              <w:jc w:val="left"/>
            </w:pPr>
            <w:proofErr w:type="gramStart"/>
            <w:r>
              <w:t>Š - TPO</w:t>
            </w:r>
            <w:proofErr w:type="gramEnd"/>
            <w:r>
              <w:t xml:space="preserve"> - 3 / 2011</w:t>
            </w:r>
          </w:p>
          <w:p w14:paraId="6670C8DB" w14:textId="77777777" w:rsidR="00B57DBB" w:rsidRDefault="00171CCA">
            <w:pPr>
              <w:widowControl w:val="0"/>
              <w:spacing w:line="240" w:lineRule="auto"/>
              <w:jc w:val="left"/>
            </w:pPr>
            <w:r>
              <w:t>IČ: 020 65 681</w:t>
            </w:r>
            <w:commentRangeEnd w:id="1"/>
            <w:r w:rsidR="00791C15">
              <w:rPr>
                <w:rStyle w:val="Odkaznakoment"/>
              </w:rPr>
              <w:commentReference w:id="1"/>
            </w:r>
          </w:p>
        </w:tc>
        <w:tc>
          <w:tcPr>
            <w:tcW w:w="2294" w:type="dxa"/>
            <w:tcBorders>
              <w:top w:val="nil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636F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</w:tr>
      <w:tr w:rsidR="00B57DBB" w14:paraId="7CE88B37" w14:textId="77777777">
        <w:tc>
          <w:tcPr>
            <w:tcW w:w="21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DA8F" w14:textId="77777777" w:rsidR="00B57DBB" w:rsidRDefault="00171CCA">
            <w:pPr>
              <w:widowControl w:val="0"/>
              <w:spacing w:line="240" w:lineRule="auto"/>
              <w:jc w:val="right"/>
              <w:rPr>
                <w:color w:val="666666"/>
              </w:rPr>
            </w:pPr>
            <w:r>
              <w:rPr>
                <w:color w:val="666666"/>
              </w:rPr>
              <w:t>Kontroloval:</w:t>
            </w:r>
          </w:p>
        </w:tc>
        <w:tc>
          <w:tcPr>
            <w:tcW w:w="163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97FC" w14:textId="77777777" w:rsidR="00B57DBB" w:rsidRDefault="00171CCA">
            <w:pPr>
              <w:widowControl w:val="0"/>
              <w:jc w:val="right"/>
            </w:pPr>
            <w:r>
              <w:rPr>
                <w:noProof/>
              </w:rPr>
              <w:drawing>
                <wp:inline distT="114300" distB="114300" distL="114300" distR="114300" wp14:anchorId="3BA888EE" wp14:editId="4B99EA80">
                  <wp:extent cx="614363" cy="34049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 t="18267" b="26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340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77F1" w14:textId="77777777" w:rsidR="00B57DBB" w:rsidRDefault="00B57DBB">
            <w:pPr>
              <w:widowControl w:val="0"/>
              <w:spacing w:line="240" w:lineRule="auto"/>
              <w:jc w:val="left"/>
              <w:rPr>
                <w:rFonts w:ascii="Oswald" w:eastAsia="Oswald" w:hAnsi="Oswald" w:cs="Oswald"/>
                <w:b/>
              </w:rPr>
            </w:pPr>
          </w:p>
          <w:p w14:paraId="06D6006B" w14:textId="77777777" w:rsidR="00B57DBB" w:rsidRDefault="00B57DBB">
            <w:pPr>
              <w:widowControl w:val="0"/>
              <w:spacing w:line="240" w:lineRule="auto"/>
              <w:jc w:val="left"/>
              <w:rPr>
                <w:i/>
              </w:rPr>
            </w:pPr>
          </w:p>
          <w:p w14:paraId="5ADAAE42" w14:textId="77777777" w:rsidR="00B57DBB" w:rsidRDefault="00B57DBB">
            <w:pPr>
              <w:widowControl w:val="0"/>
              <w:spacing w:line="240" w:lineRule="auto"/>
              <w:jc w:val="left"/>
            </w:pPr>
          </w:p>
          <w:p w14:paraId="125C0C52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22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604E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</w:tr>
      <w:tr w:rsidR="00B57DBB" w14:paraId="3D5984C7" w14:textId="77777777">
        <w:tc>
          <w:tcPr>
            <w:tcW w:w="21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B8FE" w14:textId="77777777" w:rsidR="00B57DBB" w:rsidRDefault="00171CCA">
            <w:pPr>
              <w:widowControl w:val="0"/>
              <w:spacing w:line="240" w:lineRule="auto"/>
              <w:jc w:val="right"/>
              <w:rPr>
                <w:color w:val="666666"/>
              </w:rPr>
            </w:pPr>
            <w:r>
              <w:rPr>
                <w:color w:val="666666"/>
              </w:rPr>
              <w:t>Schválil a vydal:</w:t>
            </w:r>
          </w:p>
        </w:tc>
        <w:tc>
          <w:tcPr>
            <w:tcW w:w="163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8D11" w14:textId="77777777" w:rsidR="00B57DBB" w:rsidRDefault="00171CCA">
            <w:pPr>
              <w:widowControl w:val="0"/>
              <w:jc w:val="right"/>
            </w:pPr>
            <w:r>
              <w:rPr>
                <w:noProof/>
              </w:rPr>
              <w:drawing>
                <wp:inline distT="114300" distB="114300" distL="114300" distR="114300" wp14:anchorId="6AC61ABF" wp14:editId="4CFD00F4">
                  <wp:extent cx="614363" cy="34049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 t="18267" b="26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340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7FC6" w14:textId="0FAA0F71" w:rsidR="00B57DBB" w:rsidRDefault="00D80725">
            <w:pPr>
              <w:widowControl w:val="0"/>
              <w:spacing w:line="240" w:lineRule="auto"/>
              <w:jc w:val="left"/>
              <w:rPr>
                <w:rFonts w:ascii="Oswald" w:eastAsia="Oswald" w:hAnsi="Oswald" w:cs="Oswald"/>
                <w:b/>
              </w:rPr>
            </w:pPr>
            <w:commentRangeStart w:id="2"/>
            <w:r>
              <w:rPr>
                <w:rFonts w:ascii="Oswald" w:eastAsia="Oswald" w:hAnsi="Oswald" w:cs="Oswald"/>
                <w:b/>
              </w:rPr>
              <w:t>Franta Flinta</w:t>
            </w:r>
          </w:p>
          <w:p w14:paraId="0A44926D" w14:textId="77777777" w:rsidR="00B57DBB" w:rsidRDefault="00171CCA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jednatel společnosti</w:t>
            </w:r>
          </w:p>
          <w:p w14:paraId="6C8AD35C" w14:textId="77777777" w:rsidR="00D80725" w:rsidRDefault="00D80725" w:rsidP="00D80725">
            <w:pPr>
              <w:widowControl w:val="0"/>
              <w:spacing w:line="240" w:lineRule="auto"/>
              <w:jc w:val="left"/>
            </w:pPr>
            <w:r>
              <w:t xml:space="preserve">Bezpečná </w:t>
            </w:r>
            <w:r w:rsidR="00171CCA">
              <w:t>s.r.o.</w:t>
            </w:r>
            <w:commentRangeEnd w:id="2"/>
            <w:r w:rsidR="00791C15">
              <w:rPr>
                <w:rStyle w:val="Odkaznakoment"/>
              </w:rPr>
              <w:commentReference w:id="2"/>
            </w:r>
          </w:p>
          <w:p w14:paraId="60C95AA0" w14:textId="4D7A6BEA" w:rsidR="00D80725" w:rsidRDefault="00D80725" w:rsidP="00D80725">
            <w:pPr>
              <w:widowControl w:val="0"/>
              <w:spacing w:line="240" w:lineRule="auto"/>
              <w:jc w:val="left"/>
            </w:pPr>
          </w:p>
        </w:tc>
        <w:tc>
          <w:tcPr>
            <w:tcW w:w="22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9972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</w:tr>
    </w:tbl>
    <w:p w14:paraId="2E47A262" w14:textId="77777777" w:rsidR="00B57DBB" w:rsidRDefault="00171CCA">
      <w:r>
        <w:br w:type="page"/>
      </w:r>
    </w:p>
    <w:bookmarkStart w:id="3" w:name="_izwgeq21ujgn" w:colFirst="0" w:colLast="0" w:displacedByCustomXml="next"/>
    <w:bookmarkEnd w:id="3" w:displacedByCustomXml="next"/>
    <w:sdt>
      <w:sdtPr>
        <w:id w:val="1353533402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auto"/>
          <w:sz w:val="19"/>
          <w:szCs w:val="19"/>
          <w:lang w:val="cs"/>
        </w:rPr>
      </w:sdtEndPr>
      <w:sdtContent>
        <w:p w14:paraId="53BF69AD" w14:textId="1224C99A" w:rsidR="00100EBC" w:rsidRPr="00100EBC" w:rsidRDefault="00100EBC">
          <w:pPr>
            <w:pStyle w:val="Nadpisobsahu"/>
            <w:rPr>
              <w:b/>
              <w:bCs/>
            </w:rPr>
          </w:pPr>
          <w:r w:rsidRPr="00100EBC">
            <w:rPr>
              <w:b/>
              <w:bCs/>
            </w:rPr>
            <w:t>Obsah</w:t>
          </w:r>
        </w:p>
        <w:p w14:paraId="02727839" w14:textId="01243284" w:rsidR="00100EBC" w:rsidRDefault="00100EBC">
          <w:pPr>
            <w:pStyle w:val="Obsah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634955" w:history="1">
            <w:r w:rsidRPr="00891893">
              <w:rPr>
                <w:rStyle w:val="Hypertextovodkaz"/>
                <w:noProof/>
              </w:rPr>
              <w:t>1 Úvodní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AC5B2" w14:textId="59C1F4BD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56" w:history="1">
            <w:r w:rsidRPr="00891893">
              <w:rPr>
                <w:rStyle w:val="Hypertextovodkaz"/>
                <w:noProof/>
              </w:rPr>
              <w:t>1.1 Související právní předpisy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F3734" w14:textId="79F209BC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57" w:history="1">
            <w:r w:rsidRPr="00891893">
              <w:rPr>
                <w:rStyle w:val="Hypertextovodkaz"/>
                <w:noProof/>
              </w:rPr>
              <w:t>1.2 Rozsah platnosti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581E9" w14:textId="37790C76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58" w:history="1">
            <w:r w:rsidRPr="00891893">
              <w:rPr>
                <w:rStyle w:val="Hypertextovodkaz"/>
                <w:noProof/>
              </w:rPr>
              <w:t>1.3 Použité zkratky a pojmy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58E14" w14:textId="7516FA5D" w:rsidR="00100EBC" w:rsidRDefault="00100EBC">
          <w:pPr>
            <w:pStyle w:val="Obsah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59" w:history="1">
            <w:r w:rsidRPr="00891893">
              <w:rPr>
                <w:rStyle w:val="Hypertextovodkaz"/>
                <w:noProof/>
              </w:rPr>
              <w:t>2 Osobní ochranné pracovní prostředky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86536" w14:textId="1137F901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60" w:history="1">
            <w:r w:rsidRPr="00891893">
              <w:rPr>
                <w:rStyle w:val="Hypertextovodkaz"/>
                <w:noProof/>
              </w:rPr>
              <w:t>2.1 Základní požadavky na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FC18E" w14:textId="53156329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61" w:history="1">
            <w:r w:rsidRPr="00891893">
              <w:rPr>
                <w:rStyle w:val="Hypertextovodkaz"/>
                <w:noProof/>
              </w:rPr>
              <w:t>2.2 Základní dělení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11EA9" w14:textId="6489187A" w:rsidR="00100EBC" w:rsidRDefault="00100EBC">
          <w:pPr>
            <w:pStyle w:val="Obsah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62" w:history="1">
            <w:r w:rsidRPr="00891893">
              <w:rPr>
                <w:rStyle w:val="Hypertextovodkaz"/>
                <w:noProof/>
              </w:rPr>
              <w:t>3 Zásady poskytování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1E41B" w14:textId="5482263D" w:rsidR="00100EBC" w:rsidRDefault="00100EBC">
          <w:pPr>
            <w:pStyle w:val="Obsah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63" w:history="1">
            <w:r w:rsidRPr="00891893">
              <w:rPr>
                <w:rStyle w:val="Hypertextovodkaz"/>
                <w:noProof/>
              </w:rPr>
              <w:t>4 Podklady pro poskytování OOPP zaměstnancům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8A7D2" w14:textId="71E23FF5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64" w:history="1">
            <w:r w:rsidRPr="00891893">
              <w:rPr>
                <w:rStyle w:val="Hypertextovodkaz"/>
                <w:noProof/>
              </w:rPr>
              <w:t>4.1 Hodnocení rizik konkrétních podmínek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AC5C2" w14:textId="2EA43069" w:rsidR="00100EBC" w:rsidRDefault="00100EBC">
          <w:pPr>
            <w:pStyle w:val="Obsah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65" w:history="1">
            <w:r w:rsidRPr="00891893">
              <w:rPr>
                <w:rStyle w:val="Hypertextovodkaz"/>
                <w:noProof/>
              </w:rPr>
              <w:t>5 Výběr a nákup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16C3B" w14:textId="485DDF1E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66" w:history="1">
            <w:r w:rsidRPr="00891893">
              <w:rPr>
                <w:rStyle w:val="Hypertextovodkaz"/>
                <w:noProof/>
              </w:rPr>
              <w:t>5.1 Výběr a nákup OOPP mimo rámec hodnocení rizik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1FB95" w14:textId="4459D9B2" w:rsidR="00100EBC" w:rsidRDefault="00100EBC">
          <w:pPr>
            <w:pStyle w:val="Obsah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67" w:history="1">
            <w:r w:rsidRPr="00891893">
              <w:rPr>
                <w:rStyle w:val="Hypertextovodkaz"/>
                <w:noProof/>
              </w:rPr>
              <w:t>6 Další požadavky na poskytování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D6F8D" w14:textId="2A5105F0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68" w:history="1">
            <w:r w:rsidRPr="00891893">
              <w:rPr>
                <w:rStyle w:val="Hypertextovodkaz"/>
                <w:noProof/>
              </w:rPr>
              <w:t>6.1 Průvodní a provozní dokumentace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D47C4" w14:textId="53EF84B1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69" w:history="1">
            <w:r w:rsidRPr="00891893">
              <w:rPr>
                <w:rStyle w:val="Hypertextovodkaz"/>
                <w:noProof/>
              </w:rPr>
              <w:t>6.2 Výdej OOPP zaměstnancům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71858" w14:textId="35205407" w:rsidR="00100EBC" w:rsidRDefault="00100EBC">
          <w:pPr>
            <w:pStyle w:val="Obsah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70" w:history="1">
            <w:r w:rsidRPr="00891893">
              <w:rPr>
                <w:rStyle w:val="Hypertextovodkaz"/>
                <w:noProof/>
              </w:rPr>
              <w:t>6.2.1 Výdejní automaty na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DE8C6" w14:textId="4BF37D8A" w:rsidR="00100EBC" w:rsidRDefault="00100EBC">
          <w:pPr>
            <w:pStyle w:val="Obsah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71" w:history="1">
            <w:r w:rsidRPr="00891893">
              <w:rPr>
                <w:rStyle w:val="Hypertextovodkaz"/>
                <w:noProof/>
              </w:rPr>
              <w:t>6.2.2 OOPP, které jsou trvale k dispozici na pracovišti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7B0B3" w14:textId="661499B5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72" w:history="1">
            <w:r w:rsidRPr="00891893">
              <w:rPr>
                <w:rStyle w:val="Hypertextovodkaz"/>
                <w:noProof/>
              </w:rPr>
              <w:t>6.3 Nárok na poskytnutí nového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2826B" w14:textId="050AE547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73" w:history="1">
            <w:r w:rsidRPr="00891893">
              <w:rPr>
                <w:rStyle w:val="Hypertextovodkaz"/>
                <w:noProof/>
              </w:rPr>
              <w:t>6.4 Seznámení zaměstnanců s informacemi a pokyny ke konkrétním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20FF9" w14:textId="30E9ABC4" w:rsidR="00100EBC" w:rsidRDefault="00100EBC">
          <w:pPr>
            <w:pStyle w:val="Obsah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74" w:history="1">
            <w:r w:rsidRPr="00891893">
              <w:rPr>
                <w:rStyle w:val="Hypertextovodkaz"/>
                <w:noProof/>
              </w:rPr>
              <w:t>7 Zásady používání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B99C6" w14:textId="485A5E9F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75" w:history="1">
            <w:r w:rsidRPr="00891893">
              <w:rPr>
                <w:rStyle w:val="Hypertextovodkaz"/>
                <w:noProof/>
              </w:rPr>
              <w:t>7.1 Bezpečnostní přestávky při použití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7245D" w14:textId="175C9BFC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76" w:history="1">
            <w:r w:rsidRPr="00891893">
              <w:rPr>
                <w:rStyle w:val="Hypertextovodkaz"/>
                <w:noProof/>
              </w:rPr>
              <w:t>7.2 Doba životnosti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AB8AF" w14:textId="5A046C11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77" w:history="1">
            <w:r w:rsidRPr="00891893">
              <w:rPr>
                <w:rStyle w:val="Hypertextovodkaz"/>
                <w:noProof/>
              </w:rPr>
              <w:t>7.3 Skladování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BF48E" w14:textId="6A214954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78" w:history="1">
            <w:r w:rsidRPr="00891893">
              <w:rPr>
                <w:rStyle w:val="Hypertextovodkaz"/>
                <w:noProof/>
              </w:rPr>
              <w:t>7.4 Údržba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1C367" w14:textId="1CC30C5C" w:rsidR="00100EBC" w:rsidRDefault="00100EBC">
          <w:pPr>
            <w:pStyle w:val="Obsah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79" w:history="1">
            <w:r w:rsidRPr="00891893">
              <w:rPr>
                <w:rStyle w:val="Hypertextovodkaz"/>
                <w:noProof/>
              </w:rPr>
              <w:t>7.4.1 Podmínky údržby OOPP zaměstnanci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21BC4" w14:textId="6A04588D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80" w:history="1">
            <w:r w:rsidRPr="00891893">
              <w:rPr>
                <w:rStyle w:val="Hypertextovodkaz"/>
                <w:noProof/>
              </w:rPr>
              <w:t>7.5 Vrácení, likvidace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FDD68" w14:textId="37B7718C" w:rsidR="00100EBC" w:rsidRDefault="00100EBC">
          <w:pPr>
            <w:pStyle w:val="Obsah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81" w:history="1">
            <w:r w:rsidRPr="00891893">
              <w:rPr>
                <w:rStyle w:val="Hypertextovodkaz"/>
                <w:noProof/>
              </w:rPr>
              <w:t>8 Kontroly používání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DC941" w14:textId="6BDC8A5F" w:rsidR="00100EBC" w:rsidRDefault="00100EBC">
          <w:pPr>
            <w:pStyle w:val="Obsah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82" w:history="1">
            <w:r w:rsidRPr="00891893">
              <w:rPr>
                <w:rStyle w:val="Hypertextovodkaz"/>
                <w:noProof/>
              </w:rPr>
              <w:t>9 Poskytování mycích, čistících a dezinfekčních prostředků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EA0CD" w14:textId="746D047A" w:rsidR="00100EBC" w:rsidRDefault="00100EBC">
          <w:pPr>
            <w:pStyle w:val="Obsah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83" w:history="1">
            <w:r w:rsidRPr="00891893">
              <w:rPr>
                <w:rStyle w:val="Hypertextovodkaz"/>
                <w:noProof/>
              </w:rPr>
              <w:t>10 Poskytování ochranných nápojů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B9850" w14:textId="087770D3" w:rsidR="00100EBC" w:rsidRDefault="00100EBC">
          <w:pPr>
            <w:pStyle w:val="Obsah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7634984" w:history="1">
            <w:r w:rsidRPr="00891893">
              <w:rPr>
                <w:rStyle w:val="Hypertextovodkaz"/>
                <w:noProof/>
              </w:rPr>
              <w:t>10.1 Ochranné nápoje poskytované proti zátěži teplem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F059D" w14:textId="190CCC12" w:rsidR="00100EBC" w:rsidRPr="00100EBC" w:rsidRDefault="00100EBC">
          <w:pPr>
            <w:pStyle w:val="Obsah2"/>
            <w:tabs>
              <w:tab w:val="right" w:leader="dot" w:pos="9019"/>
            </w:tabs>
            <w:rPr>
              <w:rFonts w:eastAsiaTheme="minorEastAsia"/>
              <w:noProof/>
              <w:sz w:val="22"/>
              <w:szCs w:val="22"/>
              <w:lang w:val="cs-CZ"/>
            </w:rPr>
          </w:pPr>
          <w:hyperlink w:anchor="_Toc97634985" w:history="1">
            <w:r w:rsidRPr="00100EBC">
              <w:rPr>
                <w:rStyle w:val="Hypertextovodkaz"/>
                <w:noProof/>
              </w:rPr>
              <w:t>10.2 Ochranné nápoje poskytované proti zátěži chladem</w:t>
            </w:r>
            <w:r w:rsidRPr="00100EBC">
              <w:rPr>
                <w:noProof/>
                <w:webHidden/>
              </w:rPr>
              <w:tab/>
            </w:r>
            <w:r w:rsidRPr="00100EBC">
              <w:rPr>
                <w:noProof/>
                <w:webHidden/>
              </w:rPr>
              <w:fldChar w:fldCharType="begin"/>
            </w:r>
            <w:r w:rsidRPr="00100EBC">
              <w:rPr>
                <w:noProof/>
                <w:webHidden/>
              </w:rPr>
              <w:instrText xml:space="preserve"> PAGEREF _Toc97634985 \h </w:instrText>
            </w:r>
            <w:r w:rsidRPr="00100EBC">
              <w:rPr>
                <w:noProof/>
                <w:webHidden/>
              </w:rPr>
            </w:r>
            <w:r w:rsidRPr="00100EBC">
              <w:rPr>
                <w:noProof/>
                <w:webHidden/>
              </w:rPr>
              <w:fldChar w:fldCharType="separate"/>
            </w:r>
            <w:r w:rsidRPr="00100EBC">
              <w:rPr>
                <w:noProof/>
                <w:webHidden/>
              </w:rPr>
              <w:t>16</w:t>
            </w:r>
            <w:r w:rsidRPr="00100EBC">
              <w:rPr>
                <w:noProof/>
                <w:webHidden/>
              </w:rPr>
              <w:fldChar w:fldCharType="end"/>
            </w:r>
          </w:hyperlink>
        </w:p>
        <w:p w14:paraId="50C715A0" w14:textId="06E6974F" w:rsidR="00100EBC" w:rsidRPr="00100EBC" w:rsidRDefault="00100EBC">
          <w:pPr>
            <w:pStyle w:val="Obsah1"/>
            <w:tabs>
              <w:tab w:val="right" w:leader="dot" w:pos="9019"/>
            </w:tabs>
            <w:rPr>
              <w:rFonts w:eastAsiaTheme="minorEastAsia"/>
              <w:noProof/>
              <w:sz w:val="22"/>
              <w:szCs w:val="22"/>
              <w:lang w:val="cs-CZ"/>
            </w:rPr>
          </w:pPr>
          <w:hyperlink w:anchor="_Toc97634986" w:history="1">
            <w:r w:rsidRPr="00100EBC">
              <w:rPr>
                <w:rStyle w:val="Hypertextovodkaz"/>
                <w:noProof/>
              </w:rPr>
              <w:t>11 Závěrečná ustanovení</w:t>
            </w:r>
            <w:r w:rsidRPr="00100EBC">
              <w:rPr>
                <w:noProof/>
                <w:webHidden/>
              </w:rPr>
              <w:tab/>
            </w:r>
            <w:r w:rsidRPr="00100EBC">
              <w:rPr>
                <w:noProof/>
                <w:webHidden/>
              </w:rPr>
              <w:fldChar w:fldCharType="begin"/>
            </w:r>
            <w:r w:rsidRPr="00100EBC">
              <w:rPr>
                <w:noProof/>
                <w:webHidden/>
              </w:rPr>
              <w:instrText xml:space="preserve"> PAGEREF _Toc97634986 \h </w:instrText>
            </w:r>
            <w:r w:rsidRPr="00100EBC">
              <w:rPr>
                <w:noProof/>
                <w:webHidden/>
              </w:rPr>
            </w:r>
            <w:r w:rsidRPr="00100EBC">
              <w:rPr>
                <w:noProof/>
                <w:webHidden/>
              </w:rPr>
              <w:fldChar w:fldCharType="separate"/>
            </w:r>
            <w:r w:rsidRPr="00100EBC">
              <w:rPr>
                <w:noProof/>
                <w:webHidden/>
              </w:rPr>
              <w:t>17</w:t>
            </w:r>
            <w:r w:rsidRPr="00100EBC">
              <w:rPr>
                <w:noProof/>
                <w:webHidden/>
              </w:rPr>
              <w:fldChar w:fldCharType="end"/>
            </w:r>
          </w:hyperlink>
        </w:p>
        <w:p w14:paraId="009580CF" w14:textId="694D2FCF" w:rsidR="00100EBC" w:rsidRPr="00100EBC" w:rsidRDefault="00100EBC">
          <w:pPr>
            <w:pStyle w:val="Obsah2"/>
            <w:tabs>
              <w:tab w:val="right" w:leader="dot" w:pos="9019"/>
            </w:tabs>
            <w:rPr>
              <w:rFonts w:eastAsiaTheme="minorEastAsia"/>
              <w:noProof/>
              <w:sz w:val="22"/>
              <w:szCs w:val="22"/>
              <w:lang w:val="cs-CZ"/>
            </w:rPr>
          </w:pPr>
          <w:hyperlink w:anchor="_Toc97634987" w:history="1">
            <w:r w:rsidRPr="00100EBC">
              <w:rPr>
                <w:rStyle w:val="Hypertextovodkaz"/>
                <w:noProof/>
              </w:rPr>
              <w:t>11.1 Vedení dokumentu / rozdělovník</w:t>
            </w:r>
            <w:r w:rsidRPr="00100EBC">
              <w:rPr>
                <w:noProof/>
                <w:webHidden/>
              </w:rPr>
              <w:tab/>
            </w:r>
            <w:r w:rsidRPr="00100EBC">
              <w:rPr>
                <w:noProof/>
                <w:webHidden/>
              </w:rPr>
              <w:fldChar w:fldCharType="begin"/>
            </w:r>
            <w:r w:rsidRPr="00100EBC">
              <w:rPr>
                <w:noProof/>
                <w:webHidden/>
              </w:rPr>
              <w:instrText xml:space="preserve"> PAGEREF _Toc97634987 \h </w:instrText>
            </w:r>
            <w:r w:rsidRPr="00100EBC">
              <w:rPr>
                <w:noProof/>
                <w:webHidden/>
              </w:rPr>
            </w:r>
            <w:r w:rsidRPr="00100EBC">
              <w:rPr>
                <w:noProof/>
                <w:webHidden/>
              </w:rPr>
              <w:fldChar w:fldCharType="separate"/>
            </w:r>
            <w:r w:rsidRPr="00100EBC">
              <w:rPr>
                <w:noProof/>
                <w:webHidden/>
              </w:rPr>
              <w:t>17</w:t>
            </w:r>
            <w:r w:rsidRPr="00100EBC">
              <w:rPr>
                <w:noProof/>
                <w:webHidden/>
              </w:rPr>
              <w:fldChar w:fldCharType="end"/>
            </w:r>
          </w:hyperlink>
        </w:p>
        <w:p w14:paraId="027B24F9" w14:textId="4F792831" w:rsidR="00100EBC" w:rsidRPr="00100EBC" w:rsidRDefault="00100EBC">
          <w:pPr>
            <w:pStyle w:val="Obsah2"/>
            <w:tabs>
              <w:tab w:val="right" w:leader="dot" w:pos="9019"/>
            </w:tabs>
            <w:rPr>
              <w:rFonts w:eastAsiaTheme="minorEastAsia"/>
              <w:noProof/>
              <w:sz w:val="22"/>
              <w:szCs w:val="22"/>
              <w:lang w:val="cs-CZ"/>
            </w:rPr>
          </w:pPr>
          <w:hyperlink w:anchor="_Toc97634988" w:history="1">
            <w:r w:rsidRPr="00100EBC">
              <w:rPr>
                <w:rStyle w:val="Hypertextovodkaz"/>
                <w:noProof/>
              </w:rPr>
              <w:t>11.2 Zrušovací ustanovení</w:t>
            </w:r>
            <w:r w:rsidRPr="00100EBC">
              <w:rPr>
                <w:noProof/>
                <w:webHidden/>
              </w:rPr>
              <w:tab/>
            </w:r>
            <w:r w:rsidRPr="00100EBC">
              <w:rPr>
                <w:noProof/>
                <w:webHidden/>
              </w:rPr>
              <w:fldChar w:fldCharType="begin"/>
            </w:r>
            <w:r w:rsidRPr="00100EBC">
              <w:rPr>
                <w:noProof/>
                <w:webHidden/>
              </w:rPr>
              <w:instrText xml:space="preserve"> PAGEREF _Toc97634988 \h </w:instrText>
            </w:r>
            <w:r w:rsidRPr="00100EBC">
              <w:rPr>
                <w:noProof/>
                <w:webHidden/>
              </w:rPr>
            </w:r>
            <w:r w:rsidRPr="00100EBC">
              <w:rPr>
                <w:noProof/>
                <w:webHidden/>
              </w:rPr>
              <w:fldChar w:fldCharType="separate"/>
            </w:r>
            <w:r w:rsidRPr="00100EBC">
              <w:rPr>
                <w:noProof/>
                <w:webHidden/>
              </w:rPr>
              <w:t>17</w:t>
            </w:r>
            <w:r w:rsidRPr="00100EBC">
              <w:rPr>
                <w:noProof/>
                <w:webHidden/>
              </w:rPr>
              <w:fldChar w:fldCharType="end"/>
            </w:r>
          </w:hyperlink>
        </w:p>
        <w:p w14:paraId="49461888" w14:textId="7502740A" w:rsidR="00100EBC" w:rsidRPr="00100EBC" w:rsidRDefault="00100EBC">
          <w:pPr>
            <w:pStyle w:val="Obsah2"/>
            <w:tabs>
              <w:tab w:val="right" w:leader="dot" w:pos="9019"/>
            </w:tabs>
            <w:rPr>
              <w:rFonts w:eastAsiaTheme="minorEastAsia"/>
              <w:noProof/>
              <w:sz w:val="22"/>
              <w:szCs w:val="22"/>
              <w:lang w:val="cs-CZ"/>
            </w:rPr>
          </w:pPr>
          <w:hyperlink w:anchor="_Toc97634989" w:history="1">
            <w:r w:rsidRPr="00100EBC">
              <w:rPr>
                <w:rStyle w:val="Hypertextovodkaz"/>
                <w:noProof/>
              </w:rPr>
              <w:t>11.3 Změnová služba</w:t>
            </w:r>
            <w:r w:rsidRPr="00100EBC">
              <w:rPr>
                <w:noProof/>
                <w:webHidden/>
              </w:rPr>
              <w:tab/>
            </w:r>
            <w:r w:rsidRPr="00100EBC">
              <w:rPr>
                <w:noProof/>
                <w:webHidden/>
              </w:rPr>
              <w:fldChar w:fldCharType="begin"/>
            </w:r>
            <w:r w:rsidRPr="00100EBC">
              <w:rPr>
                <w:noProof/>
                <w:webHidden/>
              </w:rPr>
              <w:instrText xml:space="preserve"> PAGEREF _Toc97634989 \h </w:instrText>
            </w:r>
            <w:r w:rsidRPr="00100EBC">
              <w:rPr>
                <w:noProof/>
                <w:webHidden/>
              </w:rPr>
            </w:r>
            <w:r w:rsidRPr="00100EBC">
              <w:rPr>
                <w:noProof/>
                <w:webHidden/>
              </w:rPr>
              <w:fldChar w:fldCharType="separate"/>
            </w:r>
            <w:r w:rsidRPr="00100EBC">
              <w:rPr>
                <w:noProof/>
                <w:webHidden/>
              </w:rPr>
              <w:t>17</w:t>
            </w:r>
            <w:r w:rsidRPr="00100EBC">
              <w:rPr>
                <w:noProof/>
                <w:webHidden/>
              </w:rPr>
              <w:fldChar w:fldCharType="end"/>
            </w:r>
          </w:hyperlink>
        </w:p>
        <w:p w14:paraId="212807F6" w14:textId="7D52CFD0" w:rsidR="00100EBC" w:rsidRPr="00100EBC" w:rsidRDefault="00100EBC">
          <w:pPr>
            <w:pStyle w:val="Obsah2"/>
            <w:tabs>
              <w:tab w:val="right" w:leader="dot" w:pos="9019"/>
            </w:tabs>
            <w:rPr>
              <w:rFonts w:eastAsiaTheme="minorEastAsia"/>
              <w:noProof/>
              <w:sz w:val="22"/>
              <w:szCs w:val="22"/>
              <w:lang w:val="cs-CZ"/>
            </w:rPr>
          </w:pPr>
          <w:hyperlink w:anchor="_Toc97634990" w:history="1">
            <w:r w:rsidRPr="00100EBC">
              <w:rPr>
                <w:rStyle w:val="Hypertextovodkaz"/>
                <w:noProof/>
              </w:rPr>
              <w:t>11.4 Změnové hlášení</w:t>
            </w:r>
            <w:r w:rsidRPr="00100EBC">
              <w:rPr>
                <w:noProof/>
                <w:webHidden/>
              </w:rPr>
              <w:tab/>
            </w:r>
            <w:r w:rsidRPr="00100EBC">
              <w:rPr>
                <w:noProof/>
                <w:webHidden/>
              </w:rPr>
              <w:fldChar w:fldCharType="begin"/>
            </w:r>
            <w:r w:rsidRPr="00100EBC">
              <w:rPr>
                <w:noProof/>
                <w:webHidden/>
              </w:rPr>
              <w:instrText xml:space="preserve"> PAGEREF _Toc97634990 \h </w:instrText>
            </w:r>
            <w:r w:rsidRPr="00100EBC">
              <w:rPr>
                <w:noProof/>
                <w:webHidden/>
              </w:rPr>
            </w:r>
            <w:r w:rsidRPr="00100EBC">
              <w:rPr>
                <w:noProof/>
                <w:webHidden/>
              </w:rPr>
              <w:fldChar w:fldCharType="separate"/>
            </w:r>
            <w:r w:rsidRPr="00100EBC">
              <w:rPr>
                <w:noProof/>
                <w:webHidden/>
              </w:rPr>
              <w:t>17</w:t>
            </w:r>
            <w:r w:rsidRPr="00100EBC">
              <w:rPr>
                <w:noProof/>
                <w:webHidden/>
              </w:rPr>
              <w:fldChar w:fldCharType="end"/>
            </w:r>
          </w:hyperlink>
        </w:p>
        <w:p w14:paraId="17C63ED6" w14:textId="64800393" w:rsidR="00100EBC" w:rsidRPr="00100EBC" w:rsidRDefault="00100EBC">
          <w:pPr>
            <w:pStyle w:val="Obsah1"/>
            <w:tabs>
              <w:tab w:val="right" w:leader="dot" w:pos="9019"/>
            </w:tabs>
            <w:rPr>
              <w:rFonts w:eastAsiaTheme="minorEastAsia"/>
              <w:noProof/>
              <w:sz w:val="22"/>
              <w:szCs w:val="22"/>
              <w:lang w:val="cs-CZ"/>
            </w:rPr>
          </w:pPr>
          <w:hyperlink w:anchor="_Toc97634991" w:history="1">
            <w:r w:rsidRPr="00100EBC">
              <w:rPr>
                <w:rStyle w:val="Hypertextovodkaz"/>
                <w:rFonts w:eastAsia="Oswald"/>
                <w:noProof/>
              </w:rPr>
              <w:t>13 Přílohy k dokumentu</w:t>
            </w:r>
            <w:r w:rsidRPr="00100EBC">
              <w:rPr>
                <w:noProof/>
                <w:webHidden/>
              </w:rPr>
              <w:tab/>
            </w:r>
            <w:r w:rsidRPr="00100EBC">
              <w:rPr>
                <w:noProof/>
                <w:webHidden/>
              </w:rPr>
              <w:fldChar w:fldCharType="begin"/>
            </w:r>
            <w:r w:rsidRPr="00100EBC">
              <w:rPr>
                <w:noProof/>
                <w:webHidden/>
              </w:rPr>
              <w:instrText xml:space="preserve"> PAGEREF _Toc97634991 \h </w:instrText>
            </w:r>
            <w:r w:rsidRPr="00100EBC">
              <w:rPr>
                <w:noProof/>
                <w:webHidden/>
              </w:rPr>
            </w:r>
            <w:r w:rsidRPr="00100EBC">
              <w:rPr>
                <w:noProof/>
                <w:webHidden/>
              </w:rPr>
              <w:fldChar w:fldCharType="separate"/>
            </w:r>
            <w:r w:rsidRPr="00100EBC">
              <w:rPr>
                <w:noProof/>
                <w:webHidden/>
              </w:rPr>
              <w:t>17</w:t>
            </w:r>
            <w:r w:rsidRPr="00100EBC">
              <w:rPr>
                <w:noProof/>
                <w:webHidden/>
              </w:rPr>
              <w:fldChar w:fldCharType="end"/>
            </w:r>
          </w:hyperlink>
        </w:p>
        <w:p w14:paraId="7145FF04" w14:textId="2B6562BF" w:rsidR="00100EBC" w:rsidRDefault="00100EBC">
          <w:r>
            <w:rPr>
              <w:b/>
              <w:bCs/>
            </w:rPr>
            <w:lastRenderedPageBreak/>
            <w:fldChar w:fldCharType="end"/>
          </w:r>
        </w:p>
      </w:sdtContent>
    </w:sdt>
    <w:p w14:paraId="7DB13D21" w14:textId="77777777" w:rsidR="00B57DBB" w:rsidRDefault="00171CCA">
      <w:r>
        <w:br w:type="page"/>
      </w:r>
    </w:p>
    <w:p w14:paraId="13830B89" w14:textId="77777777" w:rsidR="00B57DBB" w:rsidRDefault="00171CCA">
      <w:pPr>
        <w:pStyle w:val="Nadpis1"/>
      </w:pPr>
      <w:bookmarkStart w:id="4" w:name="_Toc97634955"/>
      <w:r>
        <w:lastRenderedPageBreak/>
        <w:t>1 Úvodní ustanovení</w:t>
      </w:r>
      <w:bookmarkEnd w:id="4"/>
    </w:p>
    <w:p w14:paraId="255E33A7" w14:textId="77777777" w:rsidR="00B57DBB" w:rsidRDefault="00171CCA">
      <w:pPr>
        <w:numPr>
          <w:ilvl w:val="0"/>
          <w:numId w:val="30"/>
        </w:numPr>
        <w:rPr>
          <w:b/>
        </w:rPr>
      </w:pPr>
      <w:r>
        <w:rPr>
          <w:b/>
        </w:rPr>
        <w:t>Tímto dokumentem je stanoven způsob poskytování osobních ochranných pracovních prostředků (OOPP), mycích, čistících a dezinfekčních prostředků (MČDP) a ochranných nápojů, zaměstnancům organizace a popř. i dalším, zainteresovaným osobám.</w:t>
      </w:r>
    </w:p>
    <w:p w14:paraId="29F05FF1" w14:textId="77777777" w:rsidR="00B57DBB" w:rsidRDefault="00171CC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Tento dokument:</w:t>
      </w:r>
    </w:p>
    <w:p w14:paraId="059D64F7" w14:textId="77777777" w:rsidR="00B57DBB" w:rsidRDefault="00171CCA">
      <w:pPr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musí být aktualizován bez zbytečného odkladu při všech změnách právních a ostatních předpisů BOZP, změnách místních podmínek pracovišť a činností, popř. i jiným změnám, které mají vliv na jeho obsah;</w:t>
      </w:r>
    </w:p>
    <w:p w14:paraId="023704FE" w14:textId="77777777" w:rsidR="00B57DBB" w:rsidRDefault="00171CCA">
      <w:pPr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schvaluje a vydává výhradně zaměstnavatel.</w:t>
      </w:r>
    </w:p>
    <w:p w14:paraId="13C72CAA" w14:textId="77777777" w:rsidR="00B57DBB" w:rsidRDefault="00171CC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Všichni zaměstnanci společnosti, pro něž je dokument určen, viz kapitola 1.2:</w:t>
      </w:r>
    </w:p>
    <w:p w14:paraId="5B092590" w14:textId="77777777" w:rsidR="00B57DBB" w:rsidRDefault="00171CCA">
      <w:pPr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musejí mít tento dokument v aktuální verzi trvale k dispozici; </w:t>
      </w:r>
    </w:p>
    <w:p w14:paraId="08F2F1D0" w14:textId="77777777" w:rsidR="00B57DBB" w:rsidRDefault="00171CCA">
      <w:pPr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musejí být s tímto dokumentem a každou jeho změnou prokazatelně seznámeni (u stávajících zaměstnanců se seznámení provede nejpozději 15 den po jeho vydání; u nově nastupujících zaměstnanců při nástupu do zaměstnání).</w:t>
      </w:r>
    </w:p>
    <w:p w14:paraId="6B336CA3" w14:textId="77777777" w:rsidR="00B57DBB" w:rsidRDefault="00171CCA">
      <w:pPr>
        <w:pStyle w:val="Nadpis2"/>
      </w:pPr>
      <w:bookmarkStart w:id="5" w:name="_Toc97634956"/>
      <w:r>
        <w:t>1.1 Související právní předpisy</w:t>
      </w:r>
      <w:bookmarkEnd w:id="5"/>
    </w:p>
    <w:p w14:paraId="2EDB8C45" w14:textId="77777777" w:rsidR="00B57DBB" w:rsidRDefault="00171CCA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Tento dokument je zpracovaný zejména k provedení a naplnění požadavků:</w:t>
      </w:r>
    </w:p>
    <w:p w14:paraId="37A11200" w14:textId="77777777" w:rsidR="00B57DBB" w:rsidRDefault="009E124C">
      <w:pPr>
        <w:numPr>
          <w:ilvl w:val="1"/>
          <w:numId w:val="7"/>
        </w:numPr>
        <w:rPr>
          <w:sz w:val="20"/>
          <w:szCs w:val="20"/>
        </w:rPr>
      </w:pPr>
      <w:hyperlink r:id="rId14" w:anchor="p104">
        <w:r w:rsidR="00171CCA">
          <w:rPr>
            <w:color w:val="1155CC"/>
            <w:u w:val="single"/>
          </w:rPr>
          <w:t>§ 104, zákona č. 262/2006 Sb.</w:t>
        </w:r>
      </w:hyperlink>
      <w:r w:rsidR="00171CCA">
        <w:t>, úz;</w:t>
      </w:r>
    </w:p>
    <w:p w14:paraId="393C6929" w14:textId="1D941764" w:rsidR="00B57DBB" w:rsidRDefault="009E124C">
      <w:pPr>
        <w:numPr>
          <w:ilvl w:val="1"/>
          <w:numId w:val="7"/>
        </w:numPr>
      </w:pPr>
      <w:hyperlink r:id="rId15">
        <w:r w:rsidR="00171CCA">
          <w:rPr>
            <w:color w:val="1155CC"/>
            <w:u w:val="single"/>
          </w:rPr>
          <w:t xml:space="preserve">NV. č. </w:t>
        </w:r>
        <w:r w:rsidR="00342A48">
          <w:rPr>
            <w:color w:val="1155CC"/>
            <w:u w:val="single"/>
          </w:rPr>
          <w:t>390</w:t>
        </w:r>
        <w:r w:rsidR="00171CCA">
          <w:rPr>
            <w:color w:val="1155CC"/>
            <w:u w:val="single"/>
          </w:rPr>
          <w:t>/20</w:t>
        </w:r>
        <w:r w:rsidR="00342A48">
          <w:rPr>
            <w:color w:val="1155CC"/>
            <w:u w:val="single"/>
          </w:rPr>
          <w:t>2</w:t>
        </w:r>
        <w:r w:rsidR="00171CCA">
          <w:rPr>
            <w:color w:val="1155CC"/>
            <w:u w:val="single"/>
          </w:rPr>
          <w:t>1 Sb.</w:t>
        </w:r>
      </w:hyperlink>
      <w:r w:rsidR="00171CCA">
        <w:t>, úz</w:t>
      </w:r>
      <w:r w:rsidR="00342A48">
        <w:t xml:space="preserve"> </w:t>
      </w:r>
    </w:p>
    <w:p w14:paraId="5D9B1798" w14:textId="77777777" w:rsidR="00B57DBB" w:rsidRDefault="00171CCA">
      <w:pPr>
        <w:pStyle w:val="Nadpis2"/>
      </w:pPr>
      <w:bookmarkStart w:id="6" w:name="_Toc97634957"/>
      <w:r>
        <w:t>1.2 Rozsah platnosti</w:t>
      </w:r>
      <w:bookmarkEnd w:id="6"/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"/>
        <w:gridCol w:w="4305"/>
        <w:gridCol w:w="135"/>
        <w:gridCol w:w="4440"/>
      </w:tblGrid>
      <w:tr w:rsidR="00B57DBB" w14:paraId="294BC336" w14:textId="77777777"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EFEFEF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1E509EC" w14:textId="77777777" w:rsidR="00B57DBB" w:rsidRDefault="00B57DBB">
            <w:pPr>
              <w:widowControl w:val="0"/>
              <w:spacing w:line="240" w:lineRule="auto"/>
              <w:jc w:val="left"/>
              <w:rPr>
                <w:b/>
              </w:rPr>
            </w:pPr>
            <w:commentRangeStart w:id="7"/>
          </w:p>
        </w:tc>
        <w:tc>
          <w:tcPr>
            <w:tcW w:w="430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ABA6532" w14:textId="77777777" w:rsidR="00B57DBB" w:rsidRDefault="00171CCA">
            <w:pPr>
              <w:widowControl w:val="0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Místní účinnost</w:t>
            </w:r>
          </w:p>
        </w:tc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EFEFEF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BC90D6D" w14:textId="77777777" w:rsidR="00B57DBB" w:rsidRDefault="00B57DBB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  <w:tc>
          <w:tcPr>
            <w:tcW w:w="4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B14D568" w14:textId="77777777" w:rsidR="00B57DBB" w:rsidRDefault="00171CCA">
            <w:pPr>
              <w:widowControl w:val="0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Personální závaznost</w:t>
            </w:r>
          </w:p>
        </w:tc>
      </w:tr>
      <w:tr w:rsidR="00B57DBB" w14:paraId="515213F3" w14:textId="77777777" w:rsidTr="00D80725">
        <w:trPr>
          <w:trHeight w:val="19"/>
        </w:trPr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A8CAC95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430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1C5B249" w14:textId="77777777" w:rsidR="00B57DBB" w:rsidRDefault="00171CCA">
            <w:pPr>
              <w:widowControl w:val="0"/>
              <w:spacing w:line="240" w:lineRule="auto"/>
              <w:jc w:val="left"/>
            </w:pPr>
            <w:r>
              <w:t>Všechny objekty a pracoviště společnosti</w:t>
            </w:r>
          </w:p>
        </w:tc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8557268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4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1130276" w14:textId="77777777" w:rsidR="00B57DBB" w:rsidRDefault="00171CCA">
            <w:pPr>
              <w:widowControl w:val="0"/>
              <w:spacing w:line="240" w:lineRule="auto"/>
              <w:jc w:val="left"/>
            </w:pPr>
            <w:r>
              <w:t>Zaměstnavatel</w:t>
            </w:r>
          </w:p>
        </w:tc>
      </w:tr>
      <w:tr w:rsidR="00B57DBB" w14:paraId="5AE25BD8" w14:textId="77777777"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4D43C20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430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D137DAD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FC93ED3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4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67BEA90" w14:textId="77777777" w:rsidR="00B57DBB" w:rsidRDefault="00171CCA">
            <w:pPr>
              <w:widowControl w:val="0"/>
              <w:spacing w:line="240" w:lineRule="auto"/>
              <w:jc w:val="left"/>
            </w:pPr>
            <w:r>
              <w:t>Vedoucí zaměstnanci</w:t>
            </w:r>
          </w:p>
        </w:tc>
      </w:tr>
      <w:tr w:rsidR="00B57DBB" w14:paraId="489B9977" w14:textId="77777777"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8EA5CE3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430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1FA4E21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A93FD69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4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A6D928B" w14:textId="77777777" w:rsidR="00B57DBB" w:rsidRDefault="00171CCA">
            <w:pPr>
              <w:widowControl w:val="0"/>
              <w:spacing w:line="240" w:lineRule="auto"/>
              <w:jc w:val="left"/>
            </w:pPr>
            <w:r>
              <w:t>Zaměstnanci</w:t>
            </w:r>
          </w:p>
        </w:tc>
      </w:tr>
      <w:tr w:rsidR="00B57DBB" w14:paraId="0CC5172C" w14:textId="77777777"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45B4233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430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C075B73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14BF1BE" w14:textId="77777777" w:rsidR="00B57DBB" w:rsidRDefault="00B57DBB">
            <w:pPr>
              <w:widowControl w:val="0"/>
              <w:spacing w:line="240" w:lineRule="auto"/>
              <w:jc w:val="left"/>
            </w:pPr>
          </w:p>
        </w:tc>
        <w:tc>
          <w:tcPr>
            <w:tcW w:w="4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985CAE2" w14:textId="77777777" w:rsidR="00B57DBB" w:rsidRDefault="00171CCA">
            <w:pPr>
              <w:widowControl w:val="0"/>
              <w:spacing w:line="240" w:lineRule="auto"/>
              <w:jc w:val="left"/>
            </w:pPr>
            <w:r>
              <w:t>OZO BOZP</w:t>
            </w:r>
            <w:commentRangeEnd w:id="7"/>
            <w:r w:rsidR="00791C15">
              <w:rPr>
                <w:rStyle w:val="Odkaznakoment"/>
              </w:rPr>
              <w:commentReference w:id="7"/>
            </w:r>
          </w:p>
        </w:tc>
      </w:tr>
    </w:tbl>
    <w:p w14:paraId="0016A903" w14:textId="77777777" w:rsidR="00B57DBB" w:rsidRDefault="00171CCA">
      <w:r>
        <w:br w:type="page"/>
      </w:r>
    </w:p>
    <w:p w14:paraId="005E8A25" w14:textId="77777777" w:rsidR="00B57DBB" w:rsidRDefault="00171CCA">
      <w:pPr>
        <w:pStyle w:val="Nadpis2"/>
      </w:pPr>
      <w:bookmarkStart w:id="8" w:name="_Toc97634958"/>
      <w:r>
        <w:lastRenderedPageBreak/>
        <w:t>1.3 Použité zkratky a pojmy</w:t>
      </w:r>
      <w:bookmarkEnd w:id="8"/>
    </w:p>
    <w:p w14:paraId="45E66DCE" w14:textId="77777777" w:rsidR="00B57DBB" w:rsidRDefault="00171CCA">
      <w:pPr>
        <w:numPr>
          <w:ilvl w:val="0"/>
          <w:numId w:val="4"/>
        </w:numPr>
      </w:pPr>
      <w:commentRangeStart w:id="9"/>
      <w:r>
        <w:t>V tomto dokumentu se používají následující zkratky a pojmy:</w:t>
      </w:r>
      <w:commentRangeEnd w:id="9"/>
      <w:r w:rsidR="00791C15">
        <w:rPr>
          <w:rStyle w:val="Odkaznakoment"/>
        </w:rPr>
        <w:commentReference w:id="9"/>
      </w:r>
    </w:p>
    <w:p w14:paraId="340F6075" w14:textId="77777777" w:rsidR="00B57DBB" w:rsidRDefault="00171CCA">
      <w:pPr>
        <w:numPr>
          <w:ilvl w:val="1"/>
          <w:numId w:val="4"/>
        </w:numPr>
      </w:pPr>
      <w:r>
        <w:rPr>
          <w:b/>
        </w:rPr>
        <w:t>BOZP</w:t>
      </w:r>
      <w:r>
        <w:t xml:space="preserve">: Bezpečnost a ochrana zdraví při práci, tj. souhrn všech opatření (technických, technologických, právních, administrativních, </w:t>
      </w:r>
      <w:proofErr w:type="gramStart"/>
      <w:r>
        <w:t>organizačních,…</w:t>
      </w:r>
      <w:proofErr w:type="gramEnd"/>
      <w:r>
        <w:t>), která se společně snaží zamezit vzniku pracovních úrazů, nemocí z povolání a jiných ohrožení zdraví a životů osob, vlivem pracovních činností;</w:t>
      </w:r>
    </w:p>
    <w:p w14:paraId="4CF42725" w14:textId="77777777" w:rsidR="00B57DBB" w:rsidRDefault="00171CCA">
      <w:pPr>
        <w:numPr>
          <w:ilvl w:val="1"/>
          <w:numId w:val="4"/>
        </w:numPr>
      </w:pPr>
      <w:r>
        <w:rPr>
          <w:b/>
        </w:rPr>
        <w:t>Bezpečnostní list</w:t>
      </w:r>
      <w:r>
        <w:t>: soubor informací (bezpečnostních, ekologických, toxikologických, právních) pro nakládání s nebezpečnými chemickými látkami a směsmi;</w:t>
      </w:r>
    </w:p>
    <w:p w14:paraId="4D8E8A96" w14:textId="77777777" w:rsidR="00B57DBB" w:rsidRDefault="00171CCA">
      <w:pPr>
        <w:numPr>
          <w:ilvl w:val="1"/>
          <w:numId w:val="4"/>
        </w:numPr>
      </w:pPr>
      <w:r>
        <w:rPr>
          <w:b/>
        </w:rPr>
        <w:t>HR:</w:t>
      </w:r>
      <w:r>
        <w:t xml:space="preserve"> HR manager (dříve personalista);</w:t>
      </w:r>
    </w:p>
    <w:p w14:paraId="706775A7" w14:textId="77777777" w:rsidR="00B57DBB" w:rsidRDefault="00171CCA">
      <w:pPr>
        <w:numPr>
          <w:ilvl w:val="1"/>
          <w:numId w:val="4"/>
        </w:numPr>
      </w:pPr>
      <w:r>
        <w:rPr>
          <w:b/>
        </w:rPr>
        <w:t>MČDP</w:t>
      </w:r>
      <w:r>
        <w:t>: Mycí, čistící a dezinfekční prostředky;</w:t>
      </w:r>
    </w:p>
    <w:p w14:paraId="4C198DB7" w14:textId="77777777" w:rsidR="00B57DBB" w:rsidRDefault="00171CCA">
      <w:pPr>
        <w:numPr>
          <w:ilvl w:val="1"/>
          <w:numId w:val="4"/>
        </w:numPr>
      </w:pPr>
      <w:r>
        <w:rPr>
          <w:b/>
        </w:rPr>
        <w:t>OEŘ:</w:t>
      </w:r>
      <w:r>
        <w:t xml:space="preserve"> Obchodně ekonomický ředitel;</w:t>
      </w:r>
    </w:p>
    <w:p w14:paraId="0B5E7DAD" w14:textId="77777777" w:rsidR="00B57DBB" w:rsidRDefault="00171CCA">
      <w:pPr>
        <w:numPr>
          <w:ilvl w:val="1"/>
          <w:numId w:val="4"/>
        </w:numPr>
      </w:pPr>
      <w:r>
        <w:rPr>
          <w:b/>
        </w:rPr>
        <w:t>ON</w:t>
      </w:r>
      <w:r>
        <w:t>: Ochranné nápoje;</w:t>
      </w:r>
    </w:p>
    <w:p w14:paraId="4308014E" w14:textId="77777777" w:rsidR="00B57DBB" w:rsidRDefault="00171CCA">
      <w:pPr>
        <w:numPr>
          <w:ilvl w:val="1"/>
          <w:numId w:val="4"/>
        </w:numPr>
      </w:pPr>
      <w:r>
        <w:rPr>
          <w:b/>
        </w:rPr>
        <w:t>OOPP</w:t>
      </w:r>
      <w:r>
        <w:t>: Osobní ochranné pracovní prostředky;</w:t>
      </w:r>
    </w:p>
    <w:p w14:paraId="2526F4AA" w14:textId="20644C02" w:rsidR="00B57DBB" w:rsidRDefault="00171CCA">
      <w:pPr>
        <w:numPr>
          <w:ilvl w:val="1"/>
          <w:numId w:val="4"/>
        </w:numPr>
      </w:pPr>
      <w:commentRangeStart w:id="10"/>
      <w:r>
        <w:rPr>
          <w:b/>
        </w:rPr>
        <w:t>OZO BOZP</w:t>
      </w:r>
      <w:r>
        <w:t xml:space="preserve">: Osoba odborně způsobilá k zajišťování úkolů prevence rizik v oblasti bezpečnosti a ochrany zdraví při práci, která je držitelem platného osvědčení o odborné způsobilosti dle </w:t>
      </w:r>
      <w:hyperlink r:id="rId16" w:anchor="p10">
        <w:r>
          <w:rPr>
            <w:color w:val="1155CC"/>
            <w:u w:val="single"/>
          </w:rPr>
          <w:t>zákona č. 309/2006 Sb., úz</w:t>
        </w:r>
      </w:hyperlink>
      <w:r>
        <w:t>.</w:t>
      </w:r>
      <w:r w:rsidR="00342A48">
        <w:t xml:space="preserve"> </w:t>
      </w:r>
      <w:r>
        <w:t xml:space="preserve">V současné době Ing. Vít Hofman, IČ: 020 65 681, </w:t>
      </w:r>
      <w:hyperlink r:id="rId17">
        <w:r>
          <w:rPr>
            <w:color w:val="1155CC"/>
            <w:u w:val="single"/>
          </w:rPr>
          <w:t>vit.hofman@sawuh.cz</w:t>
        </w:r>
      </w:hyperlink>
      <w:r>
        <w:t>;</w:t>
      </w:r>
    </w:p>
    <w:p w14:paraId="6284E3BD" w14:textId="0DEDEE71" w:rsidR="00B57DBB" w:rsidRDefault="00171CCA">
      <w:pPr>
        <w:numPr>
          <w:ilvl w:val="1"/>
          <w:numId w:val="4"/>
        </w:numPr>
      </w:pPr>
      <w:r>
        <w:rPr>
          <w:b/>
        </w:rPr>
        <w:t>TPO</w:t>
      </w:r>
      <w:r>
        <w:t xml:space="preserve">: Technik požární ochrany, který je držitelem platného osvědčení o odborné způsobilosti dle </w:t>
      </w:r>
      <w:hyperlink r:id="rId18">
        <w:r>
          <w:rPr>
            <w:color w:val="1155CC"/>
            <w:u w:val="single"/>
          </w:rPr>
          <w:t>zákona č. 133/1985 Sb., úz</w:t>
        </w:r>
      </w:hyperlink>
      <w:r>
        <w:t>.</w:t>
      </w:r>
      <w:r w:rsidR="00342A48">
        <w:t xml:space="preserve"> </w:t>
      </w:r>
      <w:r>
        <w:t xml:space="preserve">V současné době Ing. Vít Hofman, IČ: 020 65 681, </w:t>
      </w:r>
      <w:hyperlink r:id="rId19">
        <w:r>
          <w:rPr>
            <w:color w:val="1155CC"/>
            <w:u w:val="single"/>
          </w:rPr>
          <w:t>vit.hofman@sawuh.cz</w:t>
        </w:r>
      </w:hyperlink>
      <w:r>
        <w:t>;</w:t>
      </w:r>
      <w:commentRangeEnd w:id="10"/>
      <w:r w:rsidR="00791C15">
        <w:rPr>
          <w:rStyle w:val="Odkaznakoment"/>
        </w:rPr>
        <w:commentReference w:id="10"/>
      </w:r>
    </w:p>
    <w:p w14:paraId="1F21BC87" w14:textId="77777777" w:rsidR="00B57DBB" w:rsidRDefault="00171CCA">
      <w:pPr>
        <w:numPr>
          <w:ilvl w:val="1"/>
          <w:numId w:val="4"/>
        </w:numPr>
      </w:pPr>
      <w:r>
        <w:rPr>
          <w:b/>
        </w:rPr>
        <w:t>úz</w:t>
      </w:r>
      <w:r>
        <w:t>: účinné znění právního předpisu;</w:t>
      </w:r>
    </w:p>
    <w:p w14:paraId="6C4A4BFA" w14:textId="77777777" w:rsidR="00B57DBB" w:rsidRDefault="00171CCA">
      <w:pPr>
        <w:numPr>
          <w:ilvl w:val="1"/>
          <w:numId w:val="4"/>
        </w:numPr>
      </w:pPr>
      <w:r>
        <w:rPr>
          <w:b/>
        </w:rPr>
        <w:t>vedoucí zaměstnanec</w:t>
      </w:r>
      <w:r>
        <w:t>: Vedoucími zaměstnanci zaměstnavatele se rozumějí zaměstnanci, kteří jsou na jednotlivých stupních řízení zaměstnavatele oprávněni stanovit a ukládat podřízeným zaměstnancům pracovní úkoly, organizovat, řídit a kontrolovat jejich práci a dávat jim k tomu účelu závazné pokyny.</w:t>
      </w:r>
    </w:p>
    <w:p w14:paraId="795193DA" w14:textId="77777777" w:rsidR="00B57DBB" w:rsidRDefault="00171CCA">
      <w:pPr>
        <w:numPr>
          <w:ilvl w:val="1"/>
          <w:numId w:val="4"/>
        </w:numPr>
      </w:pPr>
      <w:r>
        <w:rPr>
          <w:b/>
        </w:rPr>
        <w:t>zaměstnavatel</w:t>
      </w:r>
      <w:r>
        <w:t>: Právnická osoba, která zaměstnává fyzickou osobu v pracovněprávním vztahu (</w:t>
      </w:r>
      <w:hyperlink r:id="rId20" w:anchor="p7">
        <w:r>
          <w:rPr>
            <w:color w:val="1155CC"/>
            <w:u w:val="single"/>
          </w:rPr>
          <w:t>§ 7, zákona č. 262/2006 Sb.</w:t>
        </w:r>
      </w:hyperlink>
      <w:r>
        <w:t>, Zákoníku práce, úz).</w:t>
      </w:r>
    </w:p>
    <w:p w14:paraId="49A210E6" w14:textId="77777777" w:rsidR="00B57DBB" w:rsidRDefault="00171CCA">
      <w:r>
        <w:br w:type="page"/>
      </w:r>
    </w:p>
    <w:p w14:paraId="696F2763" w14:textId="77777777" w:rsidR="00B57DBB" w:rsidRDefault="00171CCA">
      <w:pPr>
        <w:pStyle w:val="Nadpis1"/>
      </w:pPr>
      <w:bookmarkStart w:id="11" w:name="_Toc97634959"/>
      <w:r>
        <w:lastRenderedPageBreak/>
        <w:t>2 Osobní ochranné pracovní prostředky</w:t>
      </w:r>
      <w:bookmarkEnd w:id="11"/>
    </w:p>
    <w:p w14:paraId="6846E704" w14:textId="77777777" w:rsidR="00B57DBB" w:rsidRDefault="00171CCA">
      <w:pPr>
        <w:numPr>
          <w:ilvl w:val="0"/>
          <w:numId w:val="20"/>
        </w:numPr>
        <w:rPr>
          <w:b/>
        </w:rPr>
      </w:pPr>
      <w:r>
        <w:rPr>
          <w:b/>
        </w:rPr>
        <w:t>Osobní ochranné pracovní prostředky jsou ochranné prostředky, které musí chránit zaměstnance před riziky, nesmí ohrožovat jejich zdraví, nesmí bránit při výkonu práce a musí splňovat požadavky stanovené přímo použitelným předpisem Evropské unie</w:t>
      </w:r>
      <w:r>
        <w:rPr>
          <w:b/>
          <w:vertAlign w:val="superscript"/>
        </w:rPr>
        <w:footnoteReference w:id="1"/>
      </w:r>
    </w:p>
    <w:p w14:paraId="03196D6F" w14:textId="21CBE26D" w:rsidR="00B57DBB" w:rsidRDefault="00171CCA">
      <w:pPr>
        <w:numPr>
          <w:ilvl w:val="0"/>
          <w:numId w:val="20"/>
        </w:numPr>
        <w:rPr>
          <w:b/>
        </w:rPr>
      </w:pPr>
      <w:r>
        <w:rPr>
          <w:b/>
        </w:rPr>
        <w:t xml:space="preserve">Ochrannými prostředky </w:t>
      </w:r>
      <w:r w:rsidR="00E02F41">
        <w:rPr>
          <w:b/>
        </w:rPr>
        <w:t xml:space="preserve">mimo jiné </w:t>
      </w:r>
      <w:r>
        <w:rPr>
          <w:b/>
        </w:rPr>
        <w:t>nejsou a zaměstnanci nemají nárok na poskytnutí následujících prostředků:</w:t>
      </w:r>
    </w:p>
    <w:p w14:paraId="4ADEA5EC" w14:textId="77777777" w:rsidR="00E02F41" w:rsidRDefault="00171CCA" w:rsidP="00E02F41">
      <w:pPr>
        <w:numPr>
          <w:ilvl w:val="1"/>
          <w:numId w:val="20"/>
        </w:numPr>
      </w:pPr>
      <w:r>
        <w:t>běžné pracovní oděvy a obuv, které nejsou určeny k ochraně zdraví zaměstnanců před riziky a které nepodléhají při práci mimořádnému opotřebení nebo znečištění;</w:t>
      </w:r>
    </w:p>
    <w:p w14:paraId="74C5D4B2" w14:textId="5A902DE4" w:rsidR="00E02F41" w:rsidRPr="00E02F41" w:rsidRDefault="00E02F41" w:rsidP="00E02F41">
      <w:pPr>
        <w:numPr>
          <w:ilvl w:val="1"/>
          <w:numId w:val="20"/>
        </w:numPr>
      </w:pPr>
      <w:r w:rsidRPr="00E02F41">
        <w:t>výstroj a vybavení používané při provozu na pozemních komunikacích</w:t>
      </w:r>
      <w:r>
        <w:t>;</w:t>
      </w:r>
    </w:p>
    <w:p w14:paraId="53E182AD" w14:textId="77777777" w:rsidR="00B57DBB" w:rsidRDefault="00171CCA">
      <w:pPr>
        <w:numPr>
          <w:ilvl w:val="1"/>
          <w:numId w:val="20"/>
        </w:numPr>
      </w:pPr>
      <w:r>
        <w:t>sportovní výstroj a vybavení;</w:t>
      </w:r>
    </w:p>
    <w:p w14:paraId="0D5F0B06" w14:textId="77777777" w:rsidR="00B57DBB" w:rsidRDefault="00171CCA">
      <w:pPr>
        <w:numPr>
          <w:ilvl w:val="1"/>
          <w:numId w:val="20"/>
        </w:numPr>
      </w:pPr>
      <w:r>
        <w:t>ochranné prostředky určené pro sebeobranu;</w:t>
      </w:r>
    </w:p>
    <w:p w14:paraId="1236A64C" w14:textId="77777777" w:rsidR="00B57DBB" w:rsidRDefault="00171CCA">
      <w:pPr>
        <w:numPr>
          <w:ilvl w:val="1"/>
          <w:numId w:val="20"/>
        </w:numPr>
      </w:pPr>
      <w:r>
        <w:t>prostředky pro zjišťování a signalizování rizik a škodlivin na pracovišti.</w:t>
      </w:r>
    </w:p>
    <w:p w14:paraId="55965F2A" w14:textId="77777777" w:rsidR="00B57DBB" w:rsidRDefault="00171CCA">
      <w:pPr>
        <w:pStyle w:val="Nadpis2"/>
      </w:pPr>
      <w:bookmarkStart w:id="12" w:name="_Toc97634960"/>
      <w:r>
        <w:t>2.1 Základní požadavky na OOPP</w:t>
      </w:r>
      <w:bookmarkEnd w:id="12"/>
    </w:p>
    <w:p w14:paraId="04CDB8E2" w14:textId="77777777" w:rsidR="00B57DBB" w:rsidRDefault="00171CCA">
      <w:pPr>
        <w:numPr>
          <w:ilvl w:val="0"/>
          <w:numId w:val="2"/>
        </w:numPr>
        <w:rPr>
          <w:b/>
        </w:rPr>
      </w:pPr>
      <w:r>
        <w:rPr>
          <w:b/>
        </w:rPr>
        <w:t>OOPP musí poskytovat přiměřenou ochranu proti rizikům, proti kterým mají chránit.</w:t>
      </w:r>
    </w:p>
    <w:p w14:paraId="633A7BC8" w14:textId="77777777" w:rsidR="00B57DBB" w:rsidRDefault="00171CCA">
      <w:pPr>
        <w:numPr>
          <w:ilvl w:val="0"/>
          <w:numId w:val="2"/>
        </w:numPr>
        <w:rPr>
          <w:b/>
        </w:rPr>
      </w:pPr>
      <w:r>
        <w:rPr>
          <w:b/>
          <w:sz w:val="20"/>
          <w:szCs w:val="20"/>
        </w:rPr>
        <w:t>Ochranné prostředky musí</w:t>
      </w:r>
    </w:p>
    <w:p w14:paraId="55ABA503" w14:textId="77777777" w:rsidR="00B57DBB" w:rsidRDefault="00171CCA">
      <w:pPr>
        <w:numPr>
          <w:ilvl w:val="1"/>
          <w:numId w:val="2"/>
        </w:numPr>
      </w:pPr>
      <w:r>
        <w:rPr>
          <w:sz w:val="20"/>
          <w:szCs w:val="20"/>
        </w:rPr>
        <w:t>být po dobu používání účinné proti vyskytujícím se rizikům a jejich používání nesmí představovat další riziko;</w:t>
      </w:r>
    </w:p>
    <w:p w14:paraId="34E63982" w14:textId="77777777" w:rsidR="00B57DBB" w:rsidRDefault="00171CCA">
      <w:pPr>
        <w:numPr>
          <w:ilvl w:val="1"/>
          <w:numId w:val="2"/>
        </w:numPr>
      </w:pPr>
      <w:r>
        <w:rPr>
          <w:sz w:val="20"/>
          <w:szCs w:val="20"/>
        </w:rPr>
        <w:t>odpovídat podmínkám na pracovišti;</w:t>
      </w:r>
    </w:p>
    <w:p w14:paraId="7F390CC2" w14:textId="77777777" w:rsidR="00B57DBB" w:rsidRDefault="00171CCA">
      <w:pPr>
        <w:numPr>
          <w:ilvl w:val="1"/>
          <w:numId w:val="2"/>
        </w:numPr>
      </w:pPr>
      <w:r>
        <w:rPr>
          <w:sz w:val="20"/>
          <w:szCs w:val="20"/>
        </w:rPr>
        <w:t>být přizpůsobeny fyzickým předpokladům jednotlivých zaměstnanců;</w:t>
      </w:r>
    </w:p>
    <w:p w14:paraId="4AAB7B31" w14:textId="77777777" w:rsidR="00B57DBB" w:rsidRDefault="00171CCA">
      <w:pPr>
        <w:numPr>
          <w:ilvl w:val="1"/>
          <w:numId w:val="2"/>
        </w:numPr>
      </w:pPr>
      <w:r>
        <w:rPr>
          <w:sz w:val="20"/>
          <w:szCs w:val="20"/>
        </w:rPr>
        <w:t>respektovat ergonomické požadavky a zdravotní stav zaměstnanců.</w:t>
      </w:r>
    </w:p>
    <w:p w14:paraId="2FA1E570" w14:textId="77777777" w:rsidR="00B57DBB" w:rsidRDefault="00171CC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Tam, kde přítomnost více než jednoho rizika vyžaduje, aby zaměstnanci používali současně více ochranných prostředků, musí být tyto ochranné prostředky </w:t>
      </w:r>
      <w:r>
        <w:rPr>
          <w:b/>
          <w:sz w:val="20"/>
          <w:szCs w:val="20"/>
          <w:highlight w:val="white"/>
        </w:rPr>
        <w:t>vzájemně slučitelné</w:t>
      </w:r>
      <w:r>
        <w:rPr>
          <w:sz w:val="20"/>
          <w:szCs w:val="20"/>
          <w:highlight w:val="white"/>
        </w:rPr>
        <w:t>.</w:t>
      </w:r>
    </w:p>
    <w:p w14:paraId="70EBBCF8" w14:textId="7A8A5A9D" w:rsidR="00B57DBB" w:rsidRDefault="00171CCA">
      <w:pPr>
        <w:numPr>
          <w:ilvl w:val="0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Poskytnuté OOPP musí zaměstnanci umožnit za předvídatelných podmínek použití normálně vykonávat činnost, při které je vystaven riziku, a přitom </w:t>
      </w:r>
      <w:r w:rsidR="00E30004">
        <w:rPr>
          <w:sz w:val="20"/>
          <w:szCs w:val="20"/>
          <w:highlight w:val="white"/>
        </w:rPr>
        <w:t xml:space="preserve">mít </w:t>
      </w:r>
      <w:r>
        <w:rPr>
          <w:sz w:val="20"/>
          <w:szCs w:val="20"/>
          <w:highlight w:val="white"/>
        </w:rPr>
        <w:t xml:space="preserve">zajištěnu náležitou ochranu nejvyšší možné úrovně. </w:t>
      </w:r>
    </w:p>
    <w:p w14:paraId="1EBD7AA5" w14:textId="77777777" w:rsidR="00B57DBB" w:rsidRDefault="00171CCA">
      <w:pPr>
        <w:pStyle w:val="Nadpis2"/>
      </w:pPr>
      <w:bookmarkStart w:id="13" w:name="_Toc97634961"/>
      <w:r>
        <w:t>2.2 Základní dělení OOPP</w:t>
      </w:r>
      <w:bookmarkEnd w:id="13"/>
    </w:p>
    <w:p w14:paraId="6616CBDA" w14:textId="77777777" w:rsidR="00B57DBB" w:rsidRDefault="00171CCA">
      <w:pPr>
        <w:numPr>
          <w:ilvl w:val="0"/>
          <w:numId w:val="24"/>
        </w:numPr>
        <w:rPr>
          <w:b/>
        </w:rPr>
      </w:pPr>
      <w:r>
        <w:rPr>
          <w:b/>
        </w:rPr>
        <w:t>OOPP se s ohledem na míru rizik, proti kterým chrání, řadí do tří kategorií:</w:t>
      </w:r>
    </w:p>
    <w:p w14:paraId="13976814" w14:textId="77777777" w:rsidR="00B57DBB" w:rsidRDefault="00171CCA">
      <w:pPr>
        <w:numPr>
          <w:ilvl w:val="1"/>
          <w:numId w:val="24"/>
        </w:numPr>
        <w:rPr>
          <w:b/>
        </w:rPr>
      </w:pPr>
      <w:r>
        <w:rPr>
          <w:b/>
        </w:rPr>
        <w:t xml:space="preserve">Kategorie I zahrnuje výlučně tato minimální rizika: </w:t>
      </w:r>
    </w:p>
    <w:p w14:paraId="328080BD" w14:textId="77777777" w:rsidR="00B57DBB" w:rsidRDefault="00171CCA">
      <w:pPr>
        <w:numPr>
          <w:ilvl w:val="2"/>
          <w:numId w:val="24"/>
        </w:numPr>
      </w:pPr>
      <w:r>
        <w:t xml:space="preserve">povrchové mechanické poranění; </w:t>
      </w:r>
    </w:p>
    <w:p w14:paraId="06D7925A" w14:textId="77777777" w:rsidR="00B57DBB" w:rsidRDefault="00171CCA">
      <w:pPr>
        <w:numPr>
          <w:ilvl w:val="2"/>
          <w:numId w:val="24"/>
        </w:numPr>
      </w:pPr>
      <w:r>
        <w:t xml:space="preserve">styk se slabě agresivními čistícími prostředky nebo dlouhotrvající styk s vodou; </w:t>
      </w:r>
    </w:p>
    <w:p w14:paraId="1716494F" w14:textId="77777777" w:rsidR="00B57DBB" w:rsidRDefault="00171CCA">
      <w:pPr>
        <w:numPr>
          <w:ilvl w:val="2"/>
          <w:numId w:val="24"/>
        </w:numPr>
      </w:pPr>
      <w:r>
        <w:t xml:space="preserve">styk s horkými povrchy o teplotě nepřesahující 50 °C; </w:t>
      </w:r>
    </w:p>
    <w:p w14:paraId="4D072188" w14:textId="77777777" w:rsidR="00B57DBB" w:rsidRDefault="00171CCA">
      <w:pPr>
        <w:numPr>
          <w:ilvl w:val="2"/>
          <w:numId w:val="24"/>
        </w:numPr>
      </w:pPr>
      <w:r>
        <w:t xml:space="preserve">poškození očí v důsledku expozice slunečnímu záření (kromě pozorování Slunce); </w:t>
      </w:r>
    </w:p>
    <w:p w14:paraId="259E4356" w14:textId="77777777" w:rsidR="00B57DBB" w:rsidRDefault="00171CCA">
      <w:pPr>
        <w:numPr>
          <w:ilvl w:val="2"/>
          <w:numId w:val="24"/>
        </w:numPr>
      </w:pPr>
      <w:r>
        <w:t xml:space="preserve">povětrnostní podmínky, které nejsou mimořádné povahy. </w:t>
      </w:r>
    </w:p>
    <w:p w14:paraId="438A076B" w14:textId="77777777" w:rsidR="00B57DBB" w:rsidRDefault="00171CCA">
      <w:pPr>
        <w:numPr>
          <w:ilvl w:val="1"/>
          <w:numId w:val="24"/>
        </w:numPr>
        <w:rPr>
          <w:b/>
        </w:rPr>
      </w:pPr>
      <w:r>
        <w:rPr>
          <w:b/>
        </w:rPr>
        <w:t>Kategorie II zahrnuje jiná rizika, než jsou uvedena v kategoriích I a III.</w:t>
      </w:r>
    </w:p>
    <w:p w14:paraId="214B7129" w14:textId="77777777" w:rsidR="00B57DBB" w:rsidRDefault="00171CCA">
      <w:pPr>
        <w:numPr>
          <w:ilvl w:val="1"/>
          <w:numId w:val="24"/>
        </w:numPr>
        <w:rPr>
          <w:b/>
          <w:color w:val="C00000"/>
        </w:rPr>
      </w:pPr>
      <w:commentRangeStart w:id="14"/>
      <w:r>
        <w:rPr>
          <w:b/>
          <w:color w:val="C00000"/>
        </w:rPr>
        <w:t xml:space="preserve">Kategorie III zahrnuje výlučně rizika, která mohou způsobit velmi závažné důsledky, jako je smrt nebo trvalé poškození zdraví, a která se týkají např.: </w:t>
      </w:r>
      <w:commentRangeEnd w:id="14"/>
      <w:r w:rsidR="002F60C0">
        <w:rPr>
          <w:rStyle w:val="Odkaznakoment"/>
        </w:rPr>
        <w:commentReference w:id="14"/>
      </w:r>
    </w:p>
    <w:p w14:paraId="6640EAD7" w14:textId="77777777" w:rsidR="00B57DBB" w:rsidRDefault="00171CCA">
      <w:pPr>
        <w:numPr>
          <w:ilvl w:val="2"/>
          <w:numId w:val="24"/>
        </w:numPr>
      </w:pPr>
      <w:r>
        <w:t xml:space="preserve">látek a směsí nebezpečných pro zdraví; </w:t>
      </w:r>
    </w:p>
    <w:p w14:paraId="637E15BE" w14:textId="77777777" w:rsidR="00B57DBB" w:rsidRDefault="00171CCA">
      <w:pPr>
        <w:numPr>
          <w:ilvl w:val="2"/>
          <w:numId w:val="24"/>
        </w:numPr>
      </w:pPr>
      <w:r>
        <w:t xml:space="preserve">horkých prostředí s účinky srovnatelnými s účinky vzduchu o teplotě nejméně </w:t>
      </w:r>
      <w:proofErr w:type="gramStart"/>
      <w:r>
        <w:t>100°C</w:t>
      </w:r>
      <w:proofErr w:type="gramEnd"/>
      <w:r>
        <w:t xml:space="preserve">; </w:t>
      </w:r>
    </w:p>
    <w:p w14:paraId="7714F97B" w14:textId="77777777" w:rsidR="00B57DBB" w:rsidRDefault="00171CCA">
      <w:pPr>
        <w:numPr>
          <w:ilvl w:val="2"/>
          <w:numId w:val="24"/>
        </w:numPr>
      </w:pPr>
      <w:r>
        <w:t xml:space="preserve">pádu z výšky; </w:t>
      </w:r>
    </w:p>
    <w:p w14:paraId="7AB3CD41" w14:textId="77777777" w:rsidR="00B57DBB" w:rsidRDefault="00171CCA">
      <w:pPr>
        <w:numPr>
          <w:ilvl w:val="2"/>
          <w:numId w:val="24"/>
        </w:numPr>
      </w:pPr>
      <w:r>
        <w:t>úrazu elektrickým proudem a práce pod napětím;</w:t>
      </w:r>
    </w:p>
    <w:p w14:paraId="5ED63444" w14:textId="77777777" w:rsidR="00B57DBB" w:rsidRDefault="00171CCA">
      <w:pPr>
        <w:numPr>
          <w:ilvl w:val="2"/>
          <w:numId w:val="24"/>
        </w:numPr>
      </w:pPr>
      <w:r>
        <w:t>škodlivého hluku.</w:t>
      </w:r>
    </w:p>
    <w:p w14:paraId="5AA00611" w14:textId="77777777" w:rsidR="00B57DBB" w:rsidRDefault="00171CCA">
      <w:r>
        <w:br w:type="page"/>
      </w:r>
    </w:p>
    <w:p w14:paraId="4815B38F" w14:textId="77777777" w:rsidR="00B57DBB" w:rsidRDefault="00171CCA">
      <w:pPr>
        <w:pStyle w:val="Nadpis1"/>
      </w:pPr>
      <w:bookmarkStart w:id="15" w:name="_Toc97634962"/>
      <w:r>
        <w:lastRenderedPageBreak/>
        <w:t>3 Zásady poskytování OOPP</w:t>
      </w:r>
      <w:bookmarkEnd w:id="15"/>
    </w:p>
    <w:p w14:paraId="7D218133" w14:textId="77777777" w:rsidR="00344FFF" w:rsidRDefault="00171CCA" w:rsidP="002F4DE5">
      <w:pPr>
        <w:numPr>
          <w:ilvl w:val="0"/>
          <w:numId w:val="21"/>
        </w:numPr>
      </w:pPr>
      <w:r>
        <w:t>V případech, kdy je zjištěno riziko</w:t>
      </w:r>
      <w:r w:rsidR="00E30004">
        <w:t>,</w:t>
      </w:r>
      <w:r>
        <w:t xml:space="preserve"> které ohrožuje životy a zdraví osob, je zaměstnavatel, prostřednictvím vedoucích zaměstnanců a ve spolupráci s OZO BOZP povinen zvážit, zda toto riziko nelze z pracovního prostředí odstranit nebo dostatečně omezit prostředky kolektivní ochrany</w:t>
      </w:r>
      <w:r>
        <w:rPr>
          <w:vertAlign w:val="superscript"/>
        </w:rPr>
        <w:footnoteReference w:id="2"/>
      </w:r>
      <w:r>
        <w:t>, popř. změnami v organizaci práci.</w:t>
      </w:r>
      <w:r w:rsidR="00E30004">
        <w:t xml:space="preserve"> </w:t>
      </w:r>
    </w:p>
    <w:p w14:paraId="039658AF" w14:textId="7483BE1E" w:rsidR="00B57DBB" w:rsidRDefault="00171CCA" w:rsidP="00344FFF">
      <w:pPr>
        <w:ind w:left="720"/>
      </w:pPr>
      <w:r w:rsidRPr="00E30004">
        <w:rPr>
          <w:b/>
          <w:color w:val="C00000"/>
        </w:rPr>
        <w:t>Teprve pokud odstranění rizika, přijetí kolektivních opatření nebo organizačních změn není možné, poskytnou se vhodné osobní ochranné pracovní prostředky, jakožto ochrana před působícím rizikem.</w:t>
      </w:r>
    </w:p>
    <w:p w14:paraId="39D4DBFC" w14:textId="77777777" w:rsidR="00B57DBB" w:rsidRDefault="00171CCA">
      <w:pPr>
        <w:numPr>
          <w:ilvl w:val="0"/>
          <w:numId w:val="21"/>
        </w:numPr>
        <w:rPr>
          <w:b/>
          <w:color w:val="C00000"/>
        </w:rPr>
      </w:pPr>
      <w:r>
        <w:rPr>
          <w:b/>
          <w:color w:val="C00000"/>
        </w:rPr>
        <w:t>Při rozhodnutí o nutnosti poskytnout OOPP je důležitá pouze míra rizika, nikoliv doba jeho působení!</w:t>
      </w:r>
    </w:p>
    <w:p w14:paraId="3608250B" w14:textId="77777777" w:rsidR="00B57DBB" w:rsidRDefault="00171CCA">
      <w:pPr>
        <w:numPr>
          <w:ilvl w:val="0"/>
          <w:numId w:val="21"/>
        </w:numPr>
      </w:pPr>
      <w:r>
        <w:t>Zaměstnavatel poskytuje zaměstnancům OOPP bezplatně, na své vlastní náklady. Poskytování osobních ochranných pracovních prostředků nesmí zaměstnavatel nahrazovat finančním plněním.</w:t>
      </w:r>
    </w:p>
    <w:p w14:paraId="7181F04F" w14:textId="31FEB59F" w:rsidR="00B57DBB" w:rsidRDefault="00171CCA">
      <w:pPr>
        <w:numPr>
          <w:ilvl w:val="0"/>
          <w:numId w:val="21"/>
        </w:numPr>
      </w:pPr>
      <w:r>
        <w:rPr>
          <w:b/>
        </w:rPr>
        <w:t xml:space="preserve">Proti působení totožného rizika nebo působení srovnatelných rizik se všem zaměstnancům poskytují stejné OOPP. </w:t>
      </w:r>
      <w:r>
        <w:t xml:space="preserve">Odlišnosti jsou možné jen s ohledem na zvláštní požadavky konkrétního pracoviště </w:t>
      </w:r>
      <w:r w:rsidR="00E30004">
        <w:t xml:space="preserve">nebo </w:t>
      </w:r>
      <w:r>
        <w:t xml:space="preserve">v případě prokázaných individuálních potřeb konkrétního zaměstnance (zejména v případě smluvním poskytovatelem pracovnělékařských služeb společnosti </w:t>
      </w:r>
      <w:r w:rsidR="002F60C0">
        <w:t>potvrzeného zdravotního</w:t>
      </w:r>
      <w:r>
        <w:t xml:space="preserve"> omezení</w:t>
      </w:r>
      <w:r w:rsidR="00E30004">
        <w:t xml:space="preserve"> apod.</w:t>
      </w:r>
      <w:r>
        <w:t>).</w:t>
      </w:r>
    </w:p>
    <w:p w14:paraId="005B2894" w14:textId="010F17B5" w:rsidR="00E30004" w:rsidRDefault="00171CCA">
      <w:pPr>
        <w:numPr>
          <w:ilvl w:val="0"/>
          <w:numId w:val="21"/>
        </w:numPr>
      </w:pPr>
      <w:commentRangeStart w:id="16"/>
      <w:r>
        <w:t>OOPP se mohou poskytovat</w:t>
      </w:r>
      <w:r w:rsidR="002F60C0">
        <w:t xml:space="preserve"> některým z následujících způsobů:</w:t>
      </w:r>
      <w:commentRangeEnd w:id="16"/>
      <w:r w:rsidR="002F60C0">
        <w:rPr>
          <w:rStyle w:val="Odkaznakoment"/>
        </w:rPr>
        <w:commentReference w:id="16"/>
      </w:r>
    </w:p>
    <w:p w14:paraId="02687E1E" w14:textId="74F9F00F" w:rsidR="00E6062D" w:rsidRDefault="00171CCA" w:rsidP="00E30004">
      <w:pPr>
        <w:numPr>
          <w:ilvl w:val="1"/>
          <w:numId w:val="21"/>
        </w:numPr>
      </w:pPr>
      <w:r w:rsidRPr="00F4504F">
        <w:rPr>
          <w:b/>
          <w:bCs/>
        </w:rPr>
        <w:t>do vlastních rukou</w:t>
      </w:r>
      <w:r>
        <w:t xml:space="preserve"> konkrétnímu zaměstnanci</w:t>
      </w:r>
      <w:r w:rsidR="00D161DF">
        <w:t>;</w:t>
      </w:r>
    </w:p>
    <w:p w14:paraId="5E11D18E" w14:textId="77777777" w:rsidR="00F4504F" w:rsidRDefault="002F60C0" w:rsidP="00E30004">
      <w:pPr>
        <w:numPr>
          <w:ilvl w:val="1"/>
          <w:numId w:val="21"/>
        </w:numPr>
      </w:pPr>
      <w:r w:rsidRPr="00177752">
        <w:rPr>
          <w:b/>
          <w:bCs/>
        </w:rPr>
        <w:t>kolektivně</w:t>
      </w:r>
      <w:r>
        <w:t xml:space="preserve">, kdy jsou </w:t>
      </w:r>
      <w:r w:rsidR="00F4504F">
        <w:t xml:space="preserve">OOPP </w:t>
      </w:r>
      <w:r w:rsidR="00D161DF">
        <w:t xml:space="preserve">zaměstnancům k dispozici </w:t>
      </w:r>
      <w:r w:rsidR="00D161DF" w:rsidRPr="00F4504F">
        <w:rPr>
          <w:b/>
          <w:bCs/>
        </w:rPr>
        <w:t>trvale na pracovišti</w:t>
      </w:r>
      <w:r w:rsidR="00F4504F">
        <w:t>, přičemž:</w:t>
      </w:r>
    </w:p>
    <w:p w14:paraId="3FF8CF7A" w14:textId="5E23F6EA" w:rsidR="00F4504F" w:rsidRDefault="00F4504F" w:rsidP="00F4504F">
      <w:pPr>
        <w:numPr>
          <w:ilvl w:val="2"/>
          <w:numId w:val="21"/>
        </w:numPr>
      </w:pPr>
      <w:r>
        <w:t xml:space="preserve">zaměstnanci si dle potřeby odebírají potřebné množství </w:t>
      </w:r>
      <w:proofErr w:type="gramStart"/>
      <w:r>
        <w:t>OOPP</w:t>
      </w:r>
      <w:proofErr w:type="gramEnd"/>
      <w:r>
        <w:t xml:space="preserve"> a to výhradně </w:t>
      </w:r>
      <w:r w:rsidRPr="00177752">
        <w:rPr>
          <w:b/>
          <w:bCs/>
        </w:rPr>
        <w:t>pro své vlastní potřeby</w:t>
      </w:r>
      <w:r w:rsidR="00177752">
        <w:t xml:space="preserve"> </w:t>
      </w:r>
      <w:commentRangeStart w:id="17"/>
      <w:r w:rsidR="00177752">
        <w:t>(např. jednorázové pracovní rukavice nebo zátkové chrániče sluchu uložené v zásobníku)</w:t>
      </w:r>
      <w:commentRangeEnd w:id="17"/>
      <w:r w:rsidR="00177752">
        <w:rPr>
          <w:rStyle w:val="Odkaznakoment"/>
        </w:rPr>
        <w:commentReference w:id="17"/>
      </w:r>
      <w:r>
        <w:t>;</w:t>
      </w:r>
    </w:p>
    <w:p w14:paraId="20ECF452" w14:textId="47A2FF55" w:rsidR="00B57DBB" w:rsidRDefault="00F4504F" w:rsidP="00177752">
      <w:pPr>
        <w:numPr>
          <w:ilvl w:val="2"/>
          <w:numId w:val="21"/>
        </w:numPr>
      </w:pPr>
      <w:r>
        <w:t xml:space="preserve">zaměstnanci si půjčují OOPP a po použití </w:t>
      </w:r>
      <w:r w:rsidR="00177752">
        <w:t xml:space="preserve">je </w:t>
      </w:r>
      <w:r w:rsidRPr="00177752">
        <w:rPr>
          <w:b/>
          <w:bCs/>
        </w:rPr>
        <w:t>vrací na stanovené místo</w:t>
      </w:r>
      <w:r w:rsidR="00177752">
        <w:t xml:space="preserve"> (zejména OOPP vyšší finanční hodnoty, které jsou používány jen občasně, malým počtem zaměstnanců, jako </w:t>
      </w:r>
      <w:commentRangeStart w:id="18"/>
      <w:r w:rsidR="00177752">
        <w:t>např. celoobličejová ochranná maska, postroj k zachycení pádu, kožené zástěry apod.</w:t>
      </w:r>
      <w:commentRangeEnd w:id="18"/>
      <w:r w:rsidR="00177752">
        <w:rPr>
          <w:rStyle w:val="Odkaznakoment"/>
        </w:rPr>
        <w:commentReference w:id="18"/>
      </w:r>
      <w:r w:rsidR="00177752">
        <w:t xml:space="preserve">). Tento způsob poskytnutí je možné </w:t>
      </w:r>
      <w:r w:rsidR="00E6062D">
        <w:t xml:space="preserve">pouze za předpokladu, </w:t>
      </w:r>
      <w:r w:rsidR="00171CCA">
        <w:t xml:space="preserve">že zaměstnanci mají možnost </w:t>
      </w:r>
      <w:r w:rsidR="00E6062D">
        <w:t xml:space="preserve">před použitím OOPP </w:t>
      </w:r>
      <w:r w:rsidR="00171CCA">
        <w:t xml:space="preserve">provést </w:t>
      </w:r>
      <w:r w:rsidR="00E6062D">
        <w:t xml:space="preserve">jejich dostatečnou </w:t>
      </w:r>
      <w:r w:rsidR="00171CCA">
        <w:t>dezinfekci</w:t>
      </w:r>
      <w:r w:rsidR="00C559DA">
        <w:t>;</w:t>
      </w:r>
    </w:p>
    <w:p w14:paraId="25E12CEB" w14:textId="7C427B61" w:rsidR="00C559DA" w:rsidRDefault="00C559DA" w:rsidP="00E30004">
      <w:pPr>
        <w:numPr>
          <w:ilvl w:val="1"/>
          <w:numId w:val="21"/>
        </w:numPr>
      </w:pPr>
      <w:r>
        <w:t xml:space="preserve">formou </w:t>
      </w:r>
      <w:r w:rsidRPr="00177752">
        <w:rPr>
          <w:b/>
          <w:bCs/>
        </w:rPr>
        <w:t>výdejního automatu</w:t>
      </w:r>
      <w:r>
        <w:t xml:space="preserve"> prostřednictvím osobního čipu zaměstnance.</w:t>
      </w:r>
    </w:p>
    <w:p w14:paraId="3D65BDBD" w14:textId="77777777" w:rsidR="00B57DBB" w:rsidRDefault="00171CCA">
      <w:r>
        <w:br w:type="page"/>
      </w:r>
    </w:p>
    <w:p w14:paraId="032CCE3C" w14:textId="77777777" w:rsidR="00B57DBB" w:rsidRDefault="00171CCA">
      <w:pPr>
        <w:pStyle w:val="Nadpis1"/>
      </w:pPr>
      <w:bookmarkStart w:id="19" w:name="_Toc97634963"/>
      <w:r>
        <w:lastRenderedPageBreak/>
        <w:t>4 Podklady pro poskytování OOPP zaměstnancům</w:t>
      </w:r>
      <w:bookmarkEnd w:id="19"/>
    </w:p>
    <w:p w14:paraId="68F08DB7" w14:textId="3DB4E95F" w:rsidR="00B57DBB" w:rsidRDefault="00171CCA">
      <w:pPr>
        <w:numPr>
          <w:ilvl w:val="0"/>
          <w:numId w:val="9"/>
        </w:numPr>
      </w:pPr>
      <w:r>
        <w:t>Zaměstnavatel poskytuje osobní ochranné pracovní prostředky zaměstnancům dle vlastního seznamu zpracovaného na základě vyhodnocení rizik a konkrétních podmínek práce.</w:t>
      </w:r>
      <w:r w:rsidR="00E6062D">
        <w:t xml:space="preserve"> Dle vyhodnocení rizik se vybírají konkrétní poskytované OOPP.</w:t>
      </w:r>
    </w:p>
    <w:p w14:paraId="6F798EFB" w14:textId="77777777" w:rsidR="00B57DBB" w:rsidRDefault="00171CCA">
      <w:pPr>
        <w:pStyle w:val="Nadpis2"/>
      </w:pPr>
      <w:bookmarkStart w:id="20" w:name="_Toc97634964"/>
      <w:r>
        <w:t>4.1 Hodnocení rizik konkrétních podmínek práce</w:t>
      </w:r>
      <w:bookmarkEnd w:id="20"/>
    </w:p>
    <w:p w14:paraId="256F1A70" w14:textId="77777777" w:rsidR="00B57DBB" w:rsidRDefault="00171CCA">
      <w:pPr>
        <w:numPr>
          <w:ilvl w:val="0"/>
          <w:numId w:val="19"/>
        </w:numPr>
      </w:pPr>
      <w:r>
        <w:t>Hodnocení rizik konkrétních podmínek práce odborně zajišťuje OZO BOZP.</w:t>
      </w:r>
    </w:p>
    <w:p w14:paraId="3255F9DA" w14:textId="77777777" w:rsidR="00B57DBB" w:rsidRDefault="00171CCA">
      <w:pPr>
        <w:numPr>
          <w:ilvl w:val="0"/>
          <w:numId w:val="19"/>
        </w:numPr>
      </w:pPr>
      <w:r>
        <w:t>Na hodnocení rizik konkrétních podmínek práce pro výběr a poskytnutí OOPP spolupracují:</w:t>
      </w:r>
    </w:p>
    <w:p w14:paraId="275EFEC2" w14:textId="60EE755B" w:rsidR="00B57DBB" w:rsidRDefault="00171CCA">
      <w:pPr>
        <w:numPr>
          <w:ilvl w:val="1"/>
          <w:numId w:val="19"/>
        </w:numPr>
      </w:pPr>
      <w:r>
        <w:t>vedoucí zaměstnanec</w:t>
      </w:r>
      <w:r w:rsidR="00E6062D">
        <w:t>, jehož zaměstnanci vykonávají činnost, pro niž jsou rizika vyhodnocovány</w:t>
      </w:r>
      <w:r>
        <w:t>;</w:t>
      </w:r>
    </w:p>
    <w:p w14:paraId="2736E6C7" w14:textId="77777777" w:rsidR="009230DB" w:rsidRDefault="00171CCA" w:rsidP="009230DB">
      <w:pPr>
        <w:numPr>
          <w:ilvl w:val="1"/>
          <w:numId w:val="19"/>
        </w:numPr>
      </w:pPr>
      <w:r>
        <w:t>OZO BOZP;</w:t>
      </w:r>
    </w:p>
    <w:p w14:paraId="773807C9" w14:textId="68991F02" w:rsidR="009230DB" w:rsidRPr="009230DB" w:rsidRDefault="009230DB" w:rsidP="009230DB">
      <w:pPr>
        <w:numPr>
          <w:ilvl w:val="1"/>
          <w:numId w:val="19"/>
        </w:numPr>
      </w:pPr>
      <w:r>
        <w:t xml:space="preserve">odborová organizace a zástupce </w:t>
      </w:r>
      <w:r w:rsidRPr="009230DB">
        <w:t>pro oblast bezpečnosti a ochrany zdraví při práci</w:t>
      </w:r>
      <w:r>
        <w:t>;</w:t>
      </w:r>
    </w:p>
    <w:p w14:paraId="3B0A920D" w14:textId="32AC0EB0" w:rsidR="00B57DBB" w:rsidRDefault="00171CCA">
      <w:pPr>
        <w:numPr>
          <w:ilvl w:val="1"/>
          <w:numId w:val="19"/>
        </w:numPr>
      </w:pPr>
      <w:r>
        <w:t>přiměřeně ostatní osoby (</w:t>
      </w:r>
      <w:r w:rsidR="00E6062D">
        <w:t xml:space="preserve">zejména </w:t>
      </w:r>
      <w:r>
        <w:t>samotní zaměstnanci)</w:t>
      </w:r>
      <w:r w:rsidR="009230DB">
        <w:t>.</w:t>
      </w:r>
    </w:p>
    <w:p w14:paraId="1F91E28E" w14:textId="3783C83B" w:rsidR="00B57DBB" w:rsidRDefault="00171CCA">
      <w:pPr>
        <w:numPr>
          <w:ilvl w:val="0"/>
          <w:numId w:val="19"/>
        </w:numPr>
      </w:pPr>
      <w:r>
        <w:t xml:space="preserve">Osoby uvedené v odst. (2) na hodnocení rizik v případě potřeby spolupracují také s dalšími osobami, jako jsou zejména výrobci </w:t>
      </w:r>
      <w:r w:rsidR="009230DB">
        <w:t xml:space="preserve">OOPP, výrobci nebo dodavatelé obsluhovaných </w:t>
      </w:r>
      <w:r>
        <w:t>zařízení</w:t>
      </w:r>
      <w:r w:rsidR="009230DB">
        <w:t xml:space="preserve"> a nebezpečných chemických látek a směsí, k nimž se hodnocená rizika váží</w:t>
      </w:r>
      <w:r>
        <w:t xml:space="preserve"> apod., hygienické laboratoře, poskytovatel pracovnělékařských služeb atp.</w:t>
      </w:r>
    </w:p>
    <w:p w14:paraId="3AAD264C" w14:textId="77777777" w:rsidR="00B57DBB" w:rsidRDefault="00171CCA">
      <w:pPr>
        <w:numPr>
          <w:ilvl w:val="0"/>
          <w:numId w:val="19"/>
        </w:numPr>
      </w:pPr>
      <w:r>
        <w:t>Při hodnocení rizik pro výběr a použití OOPP se berou v úvahu zejména následující faktory:</w:t>
      </w:r>
    </w:p>
    <w:p w14:paraId="1FA2FABE" w14:textId="77777777" w:rsidR="00B57DBB" w:rsidRDefault="00171CCA">
      <w:pPr>
        <w:numPr>
          <w:ilvl w:val="1"/>
          <w:numId w:val="19"/>
        </w:numPr>
      </w:pPr>
      <w:r>
        <w:t>odborné znalosti OZO BOZP;</w:t>
      </w:r>
    </w:p>
    <w:p w14:paraId="4A7A094A" w14:textId="77777777" w:rsidR="00B57DBB" w:rsidRDefault="00171CCA">
      <w:pPr>
        <w:numPr>
          <w:ilvl w:val="1"/>
          <w:numId w:val="19"/>
        </w:numPr>
      </w:pPr>
      <w:r>
        <w:t>odborné znalosti a zkušenosti vedoucích zaměstnanců z konkrétních pracovních procesů;</w:t>
      </w:r>
    </w:p>
    <w:p w14:paraId="46C3338C" w14:textId="77777777" w:rsidR="00B57DBB" w:rsidRDefault="00171CCA">
      <w:pPr>
        <w:numPr>
          <w:ilvl w:val="1"/>
          <w:numId w:val="19"/>
        </w:numPr>
      </w:pPr>
      <w:r>
        <w:t>zkušenosti a potřeby zaměstnanců;</w:t>
      </w:r>
    </w:p>
    <w:p w14:paraId="499D6FA1" w14:textId="77777777" w:rsidR="00B57DBB" w:rsidRDefault="00171CCA">
      <w:pPr>
        <w:numPr>
          <w:ilvl w:val="1"/>
          <w:numId w:val="19"/>
        </w:numPr>
      </w:pPr>
      <w:r>
        <w:t>protokoly o měření rizikových faktorů pracovních podmínek (např. hluk, vibrace, prach, chemické látky apod.);</w:t>
      </w:r>
    </w:p>
    <w:p w14:paraId="37D0514D" w14:textId="77777777" w:rsidR="00B57DBB" w:rsidRDefault="00171CCA">
      <w:pPr>
        <w:numPr>
          <w:ilvl w:val="1"/>
          <w:numId w:val="19"/>
        </w:numPr>
      </w:pPr>
      <w:r>
        <w:t>doporučení zvláštního právního předpisu</w:t>
      </w:r>
      <w:r>
        <w:rPr>
          <w:vertAlign w:val="superscript"/>
        </w:rPr>
        <w:footnoteReference w:id="3"/>
      </w:r>
      <w:r>
        <w:t>;</w:t>
      </w:r>
    </w:p>
    <w:p w14:paraId="4DCBBA55" w14:textId="77777777" w:rsidR="00B57DBB" w:rsidRDefault="00171CCA">
      <w:pPr>
        <w:numPr>
          <w:ilvl w:val="1"/>
          <w:numId w:val="19"/>
        </w:numPr>
      </w:pPr>
      <w:r>
        <w:t>hodnocení pracovních rizik, provedené ve smyslu zvláštního právního předpisu</w:t>
      </w:r>
      <w:r>
        <w:rPr>
          <w:vertAlign w:val="superscript"/>
        </w:rPr>
        <w:footnoteReference w:id="4"/>
      </w:r>
      <w:r>
        <w:t>;</w:t>
      </w:r>
    </w:p>
    <w:p w14:paraId="1BB83409" w14:textId="77777777" w:rsidR="00B57DBB" w:rsidRDefault="00171CCA">
      <w:pPr>
        <w:numPr>
          <w:ilvl w:val="1"/>
          <w:numId w:val="19"/>
        </w:numPr>
      </w:pPr>
      <w:r>
        <w:t>požadavky právních předpisů BOZP</w:t>
      </w:r>
      <w:r>
        <w:rPr>
          <w:vertAlign w:val="superscript"/>
        </w:rPr>
        <w:footnoteReference w:id="5"/>
      </w:r>
      <w:r>
        <w:t>;</w:t>
      </w:r>
    </w:p>
    <w:p w14:paraId="04B0F8FE" w14:textId="77777777" w:rsidR="00B57DBB" w:rsidRDefault="00171CCA">
      <w:pPr>
        <w:numPr>
          <w:ilvl w:val="1"/>
          <w:numId w:val="19"/>
        </w:numPr>
      </w:pPr>
      <w:r>
        <w:t>požadavky technických norem</w:t>
      </w:r>
      <w:r>
        <w:rPr>
          <w:vertAlign w:val="superscript"/>
        </w:rPr>
        <w:footnoteReference w:id="6"/>
      </w:r>
      <w:r>
        <w:t>;</w:t>
      </w:r>
    </w:p>
    <w:p w14:paraId="144CD2D6" w14:textId="77777777" w:rsidR="00B57DBB" w:rsidRDefault="00171CCA">
      <w:pPr>
        <w:numPr>
          <w:ilvl w:val="1"/>
          <w:numId w:val="19"/>
        </w:numPr>
      </w:pPr>
      <w:r>
        <w:t>požadavky výrobců zařízení, které jsou stanovené v návodech k obsluze;</w:t>
      </w:r>
    </w:p>
    <w:p w14:paraId="624115CF" w14:textId="77777777" w:rsidR="00B57DBB" w:rsidRDefault="00171CCA">
      <w:pPr>
        <w:numPr>
          <w:ilvl w:val="1"/>
          <w:numId w:val="19"/>
        </w:numPr>
      </w:pPr>
      <w:r>
        <w:t>požadavky výrobců nebezpečných chemických látek a směsí, stanovené v bezpečnostních listech;</w:t>
      </w:r>
    </w:p>
    <w:p w14:paraId="75EE9DA2" w14:textId="77777777" w:rsidR="00B57DBB" w:rsidRDefault="00171CCA">
      <w:pPr>
        <w:numPr>
          <w:ilvl w:val="1"/>
          <w:numId w:val="19"/>
        </w:numPr>
      </w:pPr>
      <w:r>
        <w:t>zkušenosti z již proběhlých pracovních úrazů;</w:t>
      </w:r>
    </w:p>
    <w:p w14:paraId="5E223E38" w14:textId="77777777" w:rsidR="00B57DBB" w:rsidRDefault="00171CCA">
      <w:pPr>
        <w:numPr>
          <w:ilvl w:val="1"/>
          <w:numId w:val="19"/>
        </w:numPr>
      </w:pPr>
      <w:r>
        <w:t>další faktory, které mohou mít na výběr vliv.</w:t>
      </w:r>
    </w:p>
    <w:p w14:paraId="30A77518" w14:textId="77777777" w:rsidR="0049716A" w:rsidRPr="00A0718D" w:rsidRDefault="0049716A" w:rsidP="0049716A">
      <w:pPr>
        <w:numPr>
          <w:ilvl w:val="0"/>
          <w:numId w:val="19"/>
        </w:numPr>
      </w:pPr>
      <w:r w:rsidRPr="00A0718D">
        <w:t xml:space="preserve">Při určování rizik pro výběr a použití </w:t>
      </w:r>
      <w:r>
        <w:t xml:space="preserve">OOPP a pří výběru OOPP, </w:t>
      </w:r>
      <w:r w:rsidRPr="00A0718D">
        <w:t xml:space="preserve">zaměstnavatel postupuje zejména podle </w:t>
      </w:r>
      <w:r>
        <w:t>zvláštního právního předpisu</w:t>
      </w:r>
      <w:r>
        <w:rPr>
          <w:rStyle w:val="Znakapoznpodarou"/>
        </w:rPr>
        <w:footnoteReference w:id="7"/>
      </w:r>
      <w:r w:rsidRPr="00A0718D">
        <w:t>, přičemž vychází z vyhledávání a vyhodnocování rizik</w:t>
      </w:r>
      <w:r>
        <w:t>.</w:t>
      </w:r>
    </w:p>
    <w:p w14:paraId="0EDE2BC3" w14:textId="7873C245" w:rsidR="00B57DBB" w:rsidRDefault="00171CCA">
      <w:pPr>
        <w:numPr>
          <w:ilvl w:val="0"/>
          <w:numId w:val="19"/>
        </w:numPr>
      </w:pPr>
      <w:r>
        <w:t>Hodnocení rizik je součástí přílohy A, tohoto dokumentu.</w:t>
      </w:r>
    </w:p>
    <w:p w14:paraId="31004670" w14:textId="77777777" w:rsidR="00A0718D" w:rsidRDefault="00171CCA" w:rsidP="00A0718D">
      <w:pPr>
        <w:numPr>
          <w:ilvl w:val="0"/>
          <w:numId w:val="19"/>
        </w:numPr>
      </w:pPr>
      <w:r>
        <w:t>Výstupem hodnocení rizik pro výběr a poskytnutí OOPP, je seznam poskytovaných OOPP, který je součástí přílohy A, tohoto dokumentu.</w:t>
      </w:r>
    </w:p>
    <w:p w14:paraId="7B116282" w14:textId="77777777" w:rsidR="00B57DBB" w:rsidRDefault="00171CCA">
      <w:r>
        <w:br w:type="page"/>
      </w:r>
    </w:p>
    <w:p w14:paraId="64FCFDC0" w14:textId="77777777" w:rsidR="00B57DBB" w:rsidRDefault="00171CCA">
      <w:pPr>
        <w:pStyle w:val="Nadpis1"/>
      </w:pPr>
      <w:bookmarkStart w:id="21" w:name="_Toc97634965"/>
      <w:r>
        <w:lastRenderedPageBreak/>
        <w:t>5 Výběr a nákup OOPP</w:t>
      </w:r>
      <w:bookmarkEnd w:id="21"/>
    </w:p>
    <w:p w14:paraId="589F9793" w14:textId="77777777" w:rsidR="00B57DBB" w:rsidRDefault="00171CCA">
      <w:pPr>
        <w:numPr>
          <w:ilvl w:val="0"/>
          <w:numId w:val="16"/>
        </w:numPr>
      </w:pPr>
      <w:r>
        <w:t>Nákup OOPP zajišťují osoby pověřené zaměstnavatelem:</w:t>
      </w:r>
    </w:p>
    <w:p w14:paraId="7D86C0A9" w14:textId="77777777" w:rsidR="00B57DBB" w:rsidRDefault="00171CCA">
      <w:pPr>
        <w:numPr>
          <w:ilvl w:val="1"/>
          <w:numId w:val="16"/>
        </w:numPr>
      </w:pPr>
      <w:r>
        <w:rPr>
          <w:sz w:val="20"/>
          <w:szCs w:val="20"/>
        </w:rPr>
        <w:t xml:space="preserve">odpovědnost za včasné zakoupení pracovních oděvů a obuvi má </w:t>
      </w:r>
      <w:commentRangeStart w:id="22"/>
      <w:r w:rsidRPr="0049716A">
        <w:rPr>
          <w:b/>
          <w:bCs/>
          <w:color w:val="7030A0"/>
          <w:sz w:val="20"/>
          <w:szCs w:val="20"/>
        </w:rPr>
        <w:t>HR</w:t>
      </w:r>
      <w:commentRangeEnd w:id="22"/>
      <w:r w:rsidR="00791C15">
        <w:rPr>
          <w:rStyle w:val="Odkaznakoment"/>
        </w:rPr>
        <w:commentReference w:id="22"/>
      </w:r>
      <w:r>
        <w:rPr>
          <w:sz w:val="20"/>
          <w:szCs w:val="20"/>
        </w:rPr>
        <w:t>,</w:t>
      </w:r>
    </w:p>
    <w:p w14:paraId="359A0091" w14:textId="77777777" w:rsidR="00B57DBB" w:rsidRDefault="00171CCA">
      <w:pPr>
        <w:numPr>
          <w:ilvl w:val="1"/>
          <w:numId w:val="16"/>
        </w:numPr>
      </w:pPr>
      <w:r>
        <w:rPr>
          <w:sz w:val="20"/>
          <w:szCs w:val="20"/>
        </w:rPr>
        <w:t xml:space="preserve">odpovědnost za nákup a potřebnou zásobu na skladě u spotřebních OOPP má </w:t>
      </w:r>
      <w:commentRangeStart w:id="23"/>
      <w:r w:rsidRPr="0049716A">
        <w:rPr>
          <w:b/>
          <w:bCs/>
          <w:color w:val="7030A0"/>
          <w:sz w:val="20"/>
          <w:szCs w:val="20"/>
        </w:rPr>
        <w:t>OEŘ</w:t>
      </w:r>
      <w:commentRangeEnd w:id="23"/>
      <w:r w:rsidR="00791C15">
        <w:rPr>
          <w:rStyle w:val="Odkaznakoment"/>
        </w:rPr>
        <w:commentReference w:id="23"/>
      </w:r>
      <w:r>
        <w:rPr>
          <w:sz w:val="20"/>
          <w:szCs w:val="20"/>
        </w:rPr>
        <w:t>.</w:t>
      </w:r>
    </w:p>
    <w:p w14:paraId="7014872D" w14:textId="77777777" w:rsidR="00B57DBB" w:rsidRDefault="00171CCA">
      <w:pPr>
        <w:numPr>
          <w:ilvl w:val="0"/>
          <w:numId w:val="16"/>
        </w:numPr>
      </w:pPr>
      <w:r>
        <w:t>OOPP jsou nakupovány dle zpracovaného seznamu OOPP.</w:t>
      </w:r>
    </w:p>
    <w:p w14:paraId="5E92B4A5" w14:textId="074E4682" w:rsidR="00B57DBB" w:rsidRDefault="00171CCA">
      <w:pPr>
        <w:numPr>
          <w:ilvl w:val="0"/>
          <w:numId w:val="16"/>
        </w:numPr>
      </w:pPr>
      <w:r>
        <w:t>Lze nakupovat pouze ty OOPP, které plní požadavky evropských předpisů</w:t>
      </w:r>
      <w:r>
        <w:rPr>
          <w:vertAlign w:val="superscript"/>
        </w:rPr>
        <w:footnoteReference w:id="8"/>
      </w:r>
      <w:r>
        <w:t xml:space="preserve"> a u nichž byla posouzena shoda </w:t>
      </w:r>
      <w:r>
        <w:rPr>
          <w:sz w:val="20"/>
          <w:szCs w:val="20"/>
        </w:rPr>
        <w:t xml:space="preserve">a jsou označeny příslušnou značkou CE, viz obrázek 1. V případě </w:t>
      </w:r>
      <w:r>
        <w:t>OOPP III. kategorie musí být značka CE doplněna identifikačním číslem oznámeného subjektu (notifikované osoby).</w:t>
      </w:r>
    </w:p>
    <w:p w14:paraId="3D28FBFA" w14:textId="7D53B11C" w:rsidR="00B57DBB" w:rsidRDefault="00171CCA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Osoba nakupující OOPP je povinna, tento OOPP přebrat k dalšímu užití včetně veškeré průvodní (zejména návod k použití) a případně také provozní (např. doklad o kontrole) dokumentace a při přejímce ověřit dobu životnosti (expirace) OOPP (zda nedošlo nebo v nejbližší době nedojde k jejímu překročení).</w:t>
      </w:r>
    </w:p>
    <w:p w14:paraId="68577E15" w14:textId="77777777" w:rsidR="00B57DBB" w:rsidRDefault="00B57DBB"/>
    <w:p w14:paraId="7F8CEAC7" w14:textId="77777777" w:rsidR="00B57DBB" w:rsidRDefault="00171CC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 wp14:anchorId="211A7C51" wp14:editId="101FE394">
            <wp:extent cx="2284500" cy="137857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500" cy="1378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17DDDC" w14:textId="77777777" w:rsidR="00B57DBB" w:rsidRDefault="00171CC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Obrázek 1: Podoba grafické značky CE</w:t>
      </w:r>
    </w:p>
    <w:p w14:paraId="1AA72DA5" w14:textId="77777777" w:rsidR="00B57DBB" w:rsidRDefault="00B57DBB">
      <w:pPr>
        <w:jc w:val="center"/>
        <w:rPr>
          <w:i/>
          <w:sz w:val="20"/>
          <w:szCs w:val="20"/>
        </w:rPr>
      </w:pPr>
    </w:p>
    <w:p w14:paraId="1A8EDBED" w14:textId="77777777" w:rsidR="00B57DBB" w:rsidRDefault="00171CCA">
      <w:pPr>
        <w:pStyle w:val="Nadpis2"/>
      </w:pPr>
      <w:bookmarkStart w:id="24" w:name="_Toc97634966"/>
      <w:r>
        <w:t>5.1 Výběr a nákup OOPP mimo rámec hodnocení rizik</w:t>
      </w:r>
      <w:bookmarkEnd w:id="24"/>
    </w:p>
    <w:p w14:paraId="42432355" w14:textId="1EE5159A" w:rsidR="006436DA" w:rsidRDefault="00171CCA">
      <w:pPr>
        <w:numPr>
          <w:ilvl w:val="0"/>
          <w:numId w:val="18"/>
        </w:numPr>
      </w:pPr>
      <w:r>
        <w:t>V případech, kdy je nucen vedoucí zaměstnanec své podřízené zaměstnance pověřit mimořádným úkolem, který nesnese odkladu a z důvodů možného časového prodlení není možné spolupracovat s OZO BOZP a uplatnit postup</w:t>
      </w:r>
      <w:r w:rsidR="00CA53EE">
        <w:t>y</w:t>
      </w:r>
      <w:r w:rsidR="00B96322">
        <w:t>, zejména postup</w:t>
      </w:r>
      <w:r>
        <w:t xml:space="preserve"> hodnocení rizik uvedený v kapitole 4.1, je </w:t>
      </w:r>
      <w:r w:rsidR="00B96322">
        <w:t xml:space="preserve">tento vedoucí zaměstnanec </w:t>
      </w:r>
      <w:r>
        <w:t>povinen</w:t>
      </w:r>
      <w:r w:rsidR="006436DA">
        <w:t>:</w:t>
      </w:r>
    </w:p>
    <w:p w14:paraId="725413E3" w14:textId="366D1301" w:rsidR="006436DA" w:rsidRDefault="006436DA" w:rsidP="006436DA">
      <w:pPr>
        <w:numPr>
          <w:ilvl w:val="1"/>
          <w:numId w:val="18"/>
        </w:numPr>
      </w:pPr>
      <w:r>
        <w:t xml:space="preserve">provést </w:t>
      </w:r>
      <w:r w:rsidR="00171CCA">
        <w:t xml:space="preserve">vlastní zrychlené vyhodnocení rizik pro účely poskytnutí OOPP proti rizikům, kterým budou zaměstnanci vystaveni při plnění zamýšleného pracovního úkolu a </w:t>
      </w:r>
    </w:p>
    <w:p w14:paraId="7597C36C" w14:textId="4E6A9E35" w:rsidR="00B57DBB" w:rsidRDefault="00171CCA" w:rsidP="006436DA">
      <w:pPr>
        <w:numPr>
          <w:ilvl w:val="1"/>
          <w:numId w:val="18"/>
        </w:numPr>
      </w:pPr>
      <w:r>
        <w:t xml:space="preserve">v případě nutnosti, </w:t>
      </w:r>
      <w:r w:rsidR="00B96322">
        <w:t xml:space="preserve">zajistit </w:t>
      </w:r>
      <w:r>
        <w:t>vhodné OOPP</w:t>
      </w:r>
      <w:r w:rsidR="006436DA">
        <w:t>,</w:t>
      </w:r>
      <w:r>
        <w:t xml:space="preserve"> </w:t>
      </w:r>
      <w:r w:rsidR="006436DA">
        <w:t xml:space="preserve">a to </w:t>
      </w:r>
      <w:r w:rsidR="00B96322">
        <w:t xml:space="preserve">ještě </w:t>
      </w:r>
      <w:r>
        <w:t xml:space="preserve">před započetím konání </w:t>
      </w:r>
      <w:r w:rsidR="006436DA">
        <w:t xml:space="preserve">zamýšleného mimořádného pracovního </w:t>
      </w:r>
      <w:r>
        <w:t>úkolu</w:t>
      </w:r>
      <w:r w:rsidR="006436DA">
        <w:t>;</w:t>
      </w:r>
    </w:p>
    <w:p w14:paraId="2EAED1AF" w14:textId="36D7B166" w:rsidR="006436DA" w:rsidRDefault="006436DA" w:rsidP="006436DA">
      <w:pPr>
        <w:numPr>
          <w:ilvl w:val="1"/>
          <w:numId w:val="18"/>
        </w:numPr>
      </w:pPr>
      <w:r>
        <w:t>zajistit, aby dotčení zaměstnanci uměli poskytnuté OOPP používat dle pokynů výrobce;</w:t>
      </w:r>
    </w:p>
    <w:p w14:paraId="0BBD6D46" w14:textId="0E7A727E" w:rsidR="006436DA" w:rsidRDefault="006436DA" w:rsidP="006436DA">
      <w:pPr>
        <w:numPr>
          <w:ilvl w:val="1"/>
          <w:numId w:val="18"/>
        </w:numPr>
      </w:pPr>
      <w:r>
        <w:t>průběžně sledovat a vyhodnocovat dostatečnost přidělených OOPP.</w:t>
      </w:r>
    </w:p>
    <w:p w14:paraId="5A310C81" w14:textId="0A13CD9D" w:rsidR="00B57DBB" w:rsidRDefault="00171CCA">
      <w:pPr>
        <w:numPr>
          <w:ilvl w:val="0"/>
          <w:numId w:val="18"/>
        </w:numPr>
      </w:pPr>
      <w:r>
        <w:t xml:space="preserve">Při výběru a nákupu OOPP, vedoucí zaměstnanec postupuje obdobně, jak je uvedeno </w:t>
      </w:r>
      <w:r w:rsidR="00B96322">
        <w:t>v dřívějších kapitolách.</w:t>
      </w:r>
    </w:p>
    <w:p w14:paraId="26B99DE3" w14:textId="77777777" w:rsidR="00B57DBB" w:rsidRDefault="00171CCA">
      <w:pPr>
        <w:numPr>
          <w:ilvl w:val="0"/>
          <w:numId w:val="18"/>
        </w:numPr>
        <w:rPr>
          <w:b/>
          <w:color w:val="C00000"/>
        </w:rPr>
      </w:pPr>
      <w:r>
        <w:rPr>
          <w:b/>
          <w:color w:val="C00000"/>
        </w:rPr>
        <w:t>Postup uvedený v odst. (1) nelze uplatnit, pokud by pro plnění mimořádného pracovního úkolu bylo nutné používat OOPP kategorie III. V takovém případě je vždy nutná konzultace s OZO BOZP!</w:t>
      </w:r>
    </w:p>
    <w:p w14:paraId="39EACBF5" w14:textId="6282B670" w:rsidR="00B57DBB" w:rsidRDefault="00171CCA">
      <w:pPr>
        <w:numPr>
          <w:ilvl w:val="0"/>
          <w:numId w:val="18"/>
        </w:numPr>
      </w:pPr>
      <w:r>
        <w:t xml:space="preserve">V ostatních případech, než je uvedeno v odst. (1), vedoucí zaměstnanci </w:t>
      </w:r>
      <w:r w:rsidR="00B96322">
        <w:t xml:space="preserve">vždy </w:t>
      </w:r>
      <w:r>
        <w:t>spolupracují s OZO BOZP.</w:t>
      </w:r>
    </w:p>
    <w:p w14:paraId="7F9F3C35" w14:textId="77777777" w:rsidR="00B57DBB" w:rsidRDefault="00171CCA">
      <w:r>
        <w:br w:type="page"/>
      </w:r>
    </w:p>
    <w:p w14:paraId="1AD5C507" w14:textId="77777777" w:rsidR="00B57DBB" w:rsidRDefault="00171CCA">
      <w:pPr>
        <w:pStyle w:val="Nadpis1"/>
      </w:pPr>
      <w:bookmarkStart w:id="25" w:name="_Toc97634967"/>
      <w:r>
        <w:lastRenderedPageBreak/>
        <w:t>6 Další požadavky na poskytování OOPP</w:t>
      </w:r>
      <w:bookmarkEnd w:id="25"/>
    </w:p>
    <w:p w14:paraId="15F4561E" w14:textId="39E146DD" w:rsidR="00B57DBB" w:rsidRDefault="00171CCA">
      <w:pPr>
        <w:numPr>
          <w:ilvl w:val="0"/>
          <w:numId w:val="5"/>
        </w:numPr>
        <w:rPr>
          <w:b/>
          <w:color w:val="C00000"/>
        </w:rPr>
      </w:pPr>
      <w:r>
        <w:rPr>
          <w:b/>
          <w:color w:val="C00000"/>
        </w:rPr>
        <w:t xml:space="preserve">OOPP se poskytují za účelem ochrany zaměstnanců před působícími riziky. Celý proces poskytování a používání OOPP musí být tomuto účelu </w:t>
      </w:r>
      <w:r w:rsidR="006436DA">
        <w:rPr>
          <w:b/>
          <w:color w:val="C00000"/>
        </w:rPr>
        <w:t>přizpůsoben</w:t>
      </w:r>
      <w:r>
        <w:rPr>
          <w:b/>
          <w:color w:val="C00000"/>
        </w:rPr>
        <w:t xml:space="preserve">. Je-li rozpor mezi požadavky stanovenými tímto dokumentem a </w:t>
      </w:r>
      <w:r w:rsidR="006436DA">
        <w:rPr>
          <w:b/>
          <w:color w:val="C00000"/>
        </w:rPr>
        <w:t xml:space="preserve">požadavky právních či ostatních předpisů BOZP nebo </w:t>
      </w:r>
      <w:r>
        <w:rPr>
          <w:b/>
          <w:color w:val="C00000"/>
        </w:rPr>
        <w:t>reálnou praxí, osoba, která tento rozpor zjistila, musí neprodleně informovat zpracovatele tohoto dokumentu.</w:t>
      </w:r>
    </w:p>
    <w:p w14:paraId="599875B1" w14:textId="77777777" w:rsidR="00B57DBB" w:rsidRDefault="00171CCA">
      <w:pPr>
        <w:pStyle w:val="Nadpis2"/>
      </w:pPr>
      <w:bookmarkStart w:id="26" w:name="_Toc97634968"/>
      <w:r>
        <w:t>6.1 Průvodní a provozní dokumentace OOPP</w:t>
      </w:r>
      <w:bookmarkEnd w:id="26"/>
    </w:p>
    <w:p w14:paraId="48E7FB5D" w14:textId="77777777" w:rsidR="00B57DBB" w:rsidRDefault="00171CCA">
      <w:pPr>
        <w:numPr>
          <w:ilvl w:val="0"/>
          <w:numId w:val="26"/>
        </w:numPr>
        <w:rPr>
          <w:b/>
          <w:color w:val="C00000"/>
        </w:rPr>
      </w:pPr>
      <w:r>
        <w:rPr>
          <w:b/>
          <w:color w:val="C00000"/>
        </w:rPr>
        <w:t xml:space="preserve">Průvodní a provozní dokumentaci OOPP </w:t>
      </w:r>
      <w:commentRangeStart w:id="27"/>
      <w:r>
        <w:rPr>
          <w:b/>
          <w:color w:val="C00000"/>
        </w:rPr>
        <w:t>vedou příslušní vedoucí zaměstnanci</w:t>
      </w:r>
      <w:commentRangeEnd w:id="27"/>
      <w:r w:rsidR="00515186">
        <w:rPr>
          <w:rStyle w:val="Odkaznakoment"/>
        </w:rPr>
        <w:commentReference w:id="27"/>
      </w:r>
      <w:r>
        <w:rPr>
          <w:b/>
          <w:color w:val="C00000"/>
        </w:rPr>
        <w:t xml:space="preserve">. </w:t>
      </w:r>
      <w:r>
        <w:rPr>
          <w:b/>
          <w:color w:val="C00000"/>
        </w:rPr>
        <w:br/>
      </w:r>
      <w:r>
        <w:rPr>
          <w:b/>
        </w:rPr>
        <w:t>Touto dokumentací se rozumí zejména:</w:t>
      </w:r>
    </w:p>
    <w:p w14:paraId="06A3067D" w14:textId="77777777" w:rsidR="00B57DBB" w:rsidRDefault="00171CCA">
      <w:pPr>
        <w:numPr>
          <w:ilvl w:val="1"/>
          <w:numId w:val="26"/>
        </w:numPr>
      </w:pPr>
      <w:r>
        <w:t>návod k obsluze / používání;</w:t>
      </w:r>
    </w:p>
    <w:p w14:paraId="373CABDF" w14:textId="77777777" w:rsidR="00B57DBB" w:rsidRDefault="00171CCA">
      <w:pPr>
        <w:numPr>
          <w:ilvl w:val="1"/>
          <w:numId w:val="26"/>
        </w:numPr>
      </w:pPr>
      <w:r>
        <w:t>doklady o kontrolách / revizích OOPP;</w:t>
      </w:r>
    </w:p>
    <w:p w14:paraId="2D9A6846" w14:textId="77777777" w:rsidR="00B57DBB" w:rsidRDefault="00171CCA">
      <w:pPr>
        <w:numPr>
          <w:ilvl w:val="1"/>
          <w:numId w:val="26"/>
        </w:numPr>
      </w:pPr>
      <w:r>
        <w:t>doklady o údržbě OOPP;</w:t>
      </w:r>
    </w:p>
    <w:p w14:paraId="179F0C3D" w14:textId="668B94D6" w:rsidR="00B57DBB" w:rsidRDefault="00171CCA">
      <w:pPr>
        <w:numPr>
          <w:ilvl w:val="1"/>
          <w:numId w:val="26"/>
        </w:numPr>
      </w:pPr>
      <w:r>
        <w:t>doklady o poskytnutí OOPP zaměstnanci</w:t>
      </w:r>
      <w:r w:rsidR="00515186">
        <w:t>;</w:t>
      </w:r>
    </w:p>
    <w:p w14:paraId="13D9BFFE" w14:textId="5118A270" w:rsidR="00515186" w:rsidRDefault="00515186">
      <w:pPr>
        <w:numPr>
          <w:ilvl w:val="1"/>
          <w:numId w:val="26"/>
        </w:numPr>
      </w:pPr>
      <w:r>
        <w:t>doklady o prokazatelném</w:t>
      </w:r>
      <w:r>
        <w:rPr>
          <w:rStyle w:val="Znakapoznpodarou"/>
        </w:rPr>
        <w:footnoteReference w:id="9"/>
      </w:r>
      <w:r>
        <w:t xml:space="preserve"> seznámení zaměstnance se způsobem použití OOPP.</w:t>
      </w:r>
    </w:p>
    <w:p w14:paraId="4BA54C96" w14:textId="77777777" w:rsidR="00B57DBB" w:rsidRDefault="00171CCA">
      <w:pPr>
        <w:numPr>
          <w:ilvl w:val="0"/>
          <w:numId w:val="26"/>
        </w:numPr>
      </w:pPr>
      <w:r>
        <w:t xml:space="preserve">Pro OOPP kategorie I. a II: </w:t>
      </w:r>
      <w:proofErr w:type="gramStart"/>
      <w:r>
        <w:t>postačí</w:t>
      </w:r>
      <w:proofErr w:type="gramEnd"/>
      <w:r>
        <w:t xml:space="preserve"> mít průvodní dokumentaci pouze k jednotlivým typům poskytnutých OOPP, nikoli ke každému kusu OOPP.</w:t>
      </w:r>
    </w:p>
    <w:p w14:paraId="1F77FAD3" w14:textId="77777777" w:rsidR="00B57DBB" w:rsidRDefault="00171CCA">
      <w:pPr>
        <w:numPr>
          <w:ilvl w:val="0"/>
          <w:numId w:val="26"/>
        </w:numPr>
      </w:pPr>
      <w:r>
        <w:t>Odst. (2) neplatí v případě, že závazný předpis nebo přímo výrobce požaduje, aby se pro OOPP vedla provozní dokumentace, např. záznamy o pravidelných kontrolách či údržbě OOPP.</w:t>
      </w:r>
    </w:p>
    <w:p w14:paraId="58DE2C72" w14:textId="77777777" w:rsidR="00B57DBB" w:rsidRDefault="00171CCA">
      <w:pPr>
        <w:numPr>
          <w:ilvl w:val="0"/>
          <w:numId w:val="26"/>
        </w:numPr>
      </w:pPr>
      <w:r>
        <w:t xml:space="preserve">Pro každý kus osobního ochranného pracovního prostředku kategorie III., musí být řádně vedena průvodní a provozní dokumentace. Způsob </w:t>
      </w:r>
      <w:commentRangeStart w:id="28"/>
      <w:r>
        <w:t xml:space="preserve">vedení stanoví </w:t>
      </w:r>
      <w:commentRangeEnd w:id="28"/>
      <w:r w:rsidR="00893F84">
        <w:rPr>
          <w:rStyle w:val="Odkaznakoment"/>
        </w:rPr>
        <w:commentReference w:id="28"/>
      </w:r>
      <w:r>
        <w:t xml:space="preserve">příslušný vedoucí zaměstnanec, jehož podřízení zaměstnanci OOPP kategorie III., při práci </w:t>
      </w:r>
      <w:proofErr w:type="gramStart"/>
      <w:r>
        <w:t>používají</w:t>
      </w:r>
      <w:proofErr w:type="gramEnd"/>
      <w:r>
        <w:t xml:space="preserve"> a to vždy s ohledem na požadavky právních a ostatních předpisů BOZP, včetně požadavků výrobce OOPP.</w:t>
      </w:r>
    </w:p>
    <w:p w14:paraId="5E5BE94E" w14:textId="77777777" w:rsidR="00B57DBB" w:rsidRDefault="00171CCA">
      <w:pPr>
        <w:pStyle w:val="Nadpis2"/>
      </w:pPr>
      <w:bookmarkStart w:id="29" w:name="_Toc97634969"/>
      <w:r>
        <w:t>6.2 Výdej OOPP zaměstnancům</w:t>
      </w:r>
      <w:bookmarkEnd w:id="29"/>
    </w:p>
    <w:p w14:paraId="071231A7" w14:textId="77777777" w:rsidR="00B57DBB" w:rsidRDefault="00171CCA">
      <w:pPr>
        <w:numPr>
          <w:ilvl w:val="0"/>
          <w:numId w:val="33"/>
        </w:numPr>
        <w:rPr>
          <w:b/>
          <w:color w:val="C00000"/>
        </w:rPr>
      </w:pPr>
      <w:r>
        <w:rPr>
          <w:b/>
          <w:color w:val="C00000"/>
        </w:rPr>
        <w:t>Za výdej OOPP zaměstnancům odpovídají příslušní vedoucí zaměstnanci na všech stupních řízení v rozsahu pracovních míst, která zastávají.</w:t>
      </w:r>
    </w:p>
    <w:p w14:paraId="60077EC0" w14:textId="77777777" w:rsidR="00B57DBB" w:rsidRDefault="00171CCA">
      <w:pPr>
        <w:numPr>
          <w:ilvl w:val="0"/>
          <w:numId w:val="33"/>
        </w:numPr>
        <w:rPr>
          <w:b/>
        </w:rPr>
      </w:pPr>
      <w:r>
        <w:rPr>
          <w:b/>
        </w:rPr>
        <w:t>OOPP se zaměstnancům poskytují vždy před započetím práce, při jejímž výkonu je zaměstnanec vystaven riziku, proti němuž poskytovaný OOPP chrání.</w:t>
      </w:r>
    </w:p>
    <w:p w14:paraId="1A96769A" w14:textId="77777777" w:rsidR="00B57DBB" w:rsidRDefault="00171CCA">
      <w:pPr>
        <w:numPr>
          <w:ilvl w:val="0"/>
          <w:numId w:val="33"/>
        </w:numPr>
      </w:pPr>
      <w:r>
        <w:t>OOPP se zaměstnancům poskytují prokazatelným způsobem, pokud dále není stanoveno jinak.</w:t>
      </w:r>
    </w:p>
    <w:p w14:paraId="1950A62C" w14:textId="77777777" w:rsidR="00B57DBB" w:rsidRDefault="00171CCA">
      <w:pPr>
        <w:numPr>
          <w:ilvl w:val="0"/>
          <w:numId w:val="33"/>
        </w:numPr>
      </w:pPr>
      <w:r>
        <w:rPr>
          <w:b/>
        </w:rPr>
        <w:t>O poskytování OOPP vede osoba, která OOPP zaměstnanci poskytuje písemnou evidenci.</w:t>
      </w:r>
      <w:r>
        <w:rPr>
          <w:b/>
        </w:rPr>
        <w:br/>
      </w:r>
      <w:r>
        <w:t>Z evidence musí být zřejmé, jaký konkrétní OOPP se poskytuje</w:t>
      </w:r>
      <w:r>
        <w:rPr>
          <w:vertAlign w:val="superscript"/>
        </w:rPr>
        <w:footnoteReference w:id="10"/>
      </w:r>
      <w:r>
        <w:t>, kdy k poskytnutí došlo, kolik kusů se poskytlo a poskytnutí musí být stvrzeno podpisem zaměstnance, kterému se OOPP poskytuje.</w:t>
      </w:r>
    </w:p>
    <w:p w14:paraId="4603B09D" w14:textId="77777777" w:rsidR="00B57DBB" w:rsidRDefault="00171CCA">
      <w:pPr>
        <w:numPr>
          <w:ilvl w:val="0"/>
          <w:numId w:val="33"/>
        </w:numPr>
      </w:pPr>
      <w:r>
        <w:t>Pokud je konkrétní OOPP zaměstnanci poskytován poprvé, musí být zaměstnanec nejpozději při poskytnutí OOPP seznámen s informacemi pro použití OOPP, dle kapitoly 6.4.</w:t>
      </w:r>
    </w:p>
    <w:p w14:paraId="169B4D95" w14:textId="77777777" w:rsidR="00B57DBB" w:rsidRDefault="00171CCA">
      <w:pPr>
        <w:numPr>
          <w:ilvl w:val="0"/>
          <w:numId w:val="33"/>
        </w:numPr>
      </w:pPr>
      <w:r>
        <w:t>Poskytnutí OOPP se eviduje do evidenčního listu, který je součástí přílohy B, tohoto dokumentu.</w:t>
      </w:r>
    </w:p>
    <w:p w14:paraId="5EFBF8BC" w14:textId="77777777" w:rsidR="00B57DBB" w:rsidRDefault="00171CCA">
      <w:pPr>
        <w:numPr>
          <w:ilvl w:val="0"/>
          <w:numId w:val="33"/>
        </w:numPr>
      </w:pPr>
      <w:r>
        <w:t>OOPP se poskytují vždy v hygienicky bezzávadném stavu a v řádném technickém stavu.</w:t>
      </w:r>
    </w:p>
    <w:p w14:paraId="03823990" w14:textId="77777777" w:rsidR="00B57DBB" w:rsidRDefault="00171CCA">
      <w:pPr>
        <w:numPr>
          <w:ilvl w:val="0"/>
          <w:numId w:val="33"/>
        </w:numPr>
        <w:rPr>
          <w:b/>
          <w:color w:val="C00000"/>
        </w:rPr>
      </w:pPr>
      <w:r>
        <w:rPr>
          <w:b/>
          <w:color w:val="C00000"/>
        </w:rPr>
        <w:t>OOPP jsou zaměstnancům pouze zapůjčeny k užívání, stále však zůstávají majetkem společnosti!</w:t>
      </w:r>
    </w:p>
    <w:p w14:paraId="35E7070E" w14:textId="77777777" w:rsidR="00B57DBB" w:rsidRDefault="00171CCA">
      <w:pPr>
        <w:rPr>
          <w:b/>
          <w:color w:val="C00000"/>
        </w:rPr>
      </w:pPr>
      <w:r>
        <w:br w:type="page"/>
      </w:r>
    </w:p>
    <w:p w14:paraId="7B067155" w14:textId="77777777" w:rsidR="00B57DBB" w:rsidRDefault="00171CCA">
      <w:pPr>
        <w:pStyle w:val="Nadpis3"/>
      </w:pPr>
      <w:bookmarkStart w:id="30" w:name="_Toc97634970"/>
      <w:r>
        <w:lastRenderedPageBreak/>
        <w:t xml:space="preserve">6.2.1 </w:t>
      </w:r>
      <w:commentRangeStart w:id="31"/>
      <w:r>
        <w:t>Výdejní automaty na OOPP</w:t>
      </w:r>
      <w:commentRangeEnd w:id="31"/>
      <w:r w:rsidR="00C559DA">
        <w:rPr>
          <w:rStyle w:val="Odkaznakoment"/>
          <w:b w:val="0"/>
          <w:color w:val="auto"/>
        </w:rPr>
        <w:commentReference w:id="31"/>
      </w:r>
      <w:bookmarkEnd w:id="30"/>
    </w:p>
    <w:p w14:paraId="4136D47F" w14:textId="77777777" w:rsidR="00B57DBB" w:rsidRDefault="00171CCA">
      <w:pPr>
        <w:numPr>
          <w:ilvl w:val="0"/>
          <w:numId w:val="11"/>
        </w:numPr>
      </w:pPr>
      <w:r>
        <w:t>Některé OOPP mohou být zaměstnancům poskytovány prostřednictvím výdejních automatů umístěných přímo na pracovišti.</w:t>
      </w:r>
    </w:p>
    <w:p w14:paraId="6F82E779" w14:textId="77777777" w:rsidR="00B57DBB" w:rsidRDefault="00171CCA">
      <w:pPr>
        <w:numPr>
          <w:ilvl w:val="0"/>
          <w:numId w:val="11"/>
        </w:numPr>
      </w:pPr>
      <w:r>
        <w:t>Zaměstnanci musejí být o tomto způsobu výdeje OOPP řádně poučeni a dle potřeby také prakticky zacvičeni.</w:t>
      </w:r>
    </w:p>
    <w:p w14:paraId="0BF6F6E9" w14:textId="77777777" w:rsidR="00B57DBB" w:rsidRDefault="00171CCA">
      <w:pPr>
        <w:numPr>
          <w:ilvl w:val="0"/>
          <w:numId w:val="11"/>
        </w:numPr>
      </w:pPr>
      <w:r>
        <w:t>Výdej OOPP je umožněn po přihlášení se zaměstnance k automatu pomocí osobního čipu a zvolení příslušného druhu OOPP.</w:t>
      </w:r>
    </w:p>
    <w:p w14:paraId="1C6AF621" w14:textId="77777777" w:rsidR="00B57DBB" w:rsidRDefault="00171CCA">
      <w:pPr>
        <w:numPr>
          <w:ilvl w:val="0"/>
          <w:numId w:val="11"/>
        </w:numPr>
      </w:pPr>
      <w:r>
        <w:t>Zaměstnanci používají výdejní automat svépomoci. Nárok na použití výdejního automatu vzniká zaměstnanci ve chvíli, kdy používaný OOPP ztratil ochrannou funkci nebo se její ztráta dá v nejbližší době (v řádech jednotek hodin, v odůvodněných případech až jednotek dní) očekávat.</w:t>
      </w:r>
    </w:p>
    <w:p w14:paraId="4E710D47" w14:textId="77777777" w:rsidR="00B57DBB" w:rsidRDefault="00171CCA">
      <w:pPr>
        <w:pStyle w:val="Nadpis3"/>
      </w:pPr>
      <w:bookmarkStart w:id="32" w:name="_Toc97634971"/>
      <w:r>
        <w:t>6.2.2 OOPP, které jsou trvale k dispozici na pracovišti</w:t>
      </w:r>
      <w:bookmarkEnd w:id="32"/>
      <w:r>
        <w:t xml:space="preserve"> </w:t>
      </w:r>
    </w:p>
    <w:p w14:paraId="62174CF5" w14:textId="49A74470" w:rsidR="00B57DBB" w:rsidRDefault="00171CCA">
      <w:pPr>
        <w:numPr>
          <w:ilvl w:val="0"/>
          <w:numId w:val="17"/>
        </w:numPr>
      </w:pPr>
      <w:r>
        <w:t xml:space="preserve">Některé OOPP se neposkytují zaměstnancům přímo </w:t>
      </w:r>
      <w:r w:rsidR="00C559DA">
        <w:t>„</w:t>
      </w:r>
      <w:r>
        <w:t xml:space="preserve">do </w:t>
      </w:r>
      <w:r w:rsidR="002864C6">
        <w:t>rukou</w:t>
      </w:r>
      <w:r w:rsidR="00C559DA">
        <w:t>“</w:t>
      </w:r>
      <w:r>
        <w:t xml:space="preserve"> k osobnímu užívání, nýbrž jsou tito zaměstnanci poučeni osobou, která OOPP poskytuje, že OOPP je jim trvale k dispozici na pracovišti a s místem, kde je tento OOPP na pracovišti trvale uložen.</w:t>
      </w:r>
      <w:r w:rsidR="00624A57">
        <w:t xml:space="preserve"> Zaměstnanci musejí být rovněž seznámeni s tím, zda je takto poskytnutý OOPP nutno vrátit na určené místo a s podmínkami vrácení (např. nutné vyčištění nebo dezinfekce) nebo </w:t>
      </w:r>
      <w:r w:rsidR="002864C6">
        <w:t xml:space="preserve">zda </w:t>
      </w:r>
      <w:r w:rsidR="00624A57">
        <w:t>je OOPP určen k použití výhradně tím zaměstnancem, kterému je poskytnut</w:t>
      </w:r>
      <w:r w:rsidR="002864C6">
        <w:t xml:space="preserve"> a jeho vrácení na určené místo není nutné</w:t>
      </w:r>
      <w:r w:rsidR="00624A57">
        <w:t>.</w:t>
      </w:r>
    </w:p>
    <w:p w14:paraId="32F04FFC" w14:textId="5AD4B4AB" w:rsidR="00B57DBB" w:rsidRDefault="00171CCA" w:rsidP="00BF6423">
      <w:pPr>
        <w:numPr>
          <w:ilvl w:val="0"/>
          <w:numId w:val="17"/>
        </w:numPr>
      </w:pPr>
      <w:r>
        <w:t>Možnost poskytnout OOPP způsobem, kdy je trvale k</w:t>
      </w:r>
      <w:r w:rsidR="00DA70C5">
        <w:t> </w:t>
      </w:r>
      <w:r>
        <w:t>dispozici na pracovišti, musí být pro konkrétní OOPP uvedena v seznamu poskytovaných OOPP.</w:t>
      </w:r>
    </w:p>
    <w:p w14:paraId="48394F7D" w14:textId="77777777" w:rsidR="00B57DBB" w:rsidRDefault="00171CCA">
      <w:pPr>
        <w:numPr>
          <w:ilvl w:val="0"/>
          <w:numId w:val="17"/>
        </w:numPr>
      </w:pPr>
      <w:r>
        <w:t xml:space="preserve">Je-li u konkrétního OOPP uvedena možnost tento poskytovat způsobem, kdy je trvale k dispozici na pracovišti, </w:t>
      </w:r>
    </w:p>
    <w:p w14:paraId="59AB3930" w14:textId="26A4B009" w:rsidR="00B57DBB" w:rsidRDefault="00171CCA">
      <w:pPr>
        <w:numPr>
          <w:ilvl w:val="1"/>
          <w:numId w:val="17"/>
        </w:numPr>
      </w:pPr>
      <w:r>
        <w:t xml:space="preserve">záleží na rozhodnutí příslušného vedoucího zaměstnance, zda tuto možnost využije nebo bude OOPP poskytovat zaměstnancům do </w:t>
      </w:r>
      <w:r w:rsidR="00624A57">
        <w:t xml:space="preserve">vlastních </w:t>
      </w:r>
      <w:r>
        <w:t>rukou k osobnímu užívání;</w:t>
      </w:r>
    </w:p>
    <w:p w14:paraId="18BDCAEB" w14:textId="5255E1C2" w:rsidR="00B57DBB" w:rsidRDefault="00171CCA">
      <w:pPr>
        <w:numPr>
          <w:ilvl w:val="1"/>
          <w:numId w:val="17"/>
        </w:numPr>
      </w:pPr>
      <w:r>
        <w:t xml:space="preserve">vedoucí zaměstnanec zajistí, aby u takto na pracovišti přítomných OOPP byla zajištěna pravidelná kontrola jejich stavu, </w:t>
      </w:r>
      <w:r w:rsidR="00624A57">
        <w:t xml:space="preserve">v případě OOPP, které se vracejí na místo, také </w:t>
      </w:r>
      <w:r>
        <w:t xml:space="preserve">jejich dezinfekce </w:t>
      </w:r>
      <w:r w:rsidR="00624A57">
        <w:t xml:space="preserve">a čištění </w:t>
      </w:r>
      <w:r>
        <w:t xml:space="preserve">a zaměstnanci měli možnost před použitím takového OOPP dezinfekci </w:t>
      </w:r>
      <w:r w:rsidR="00624A57">
        <w:t xml:space="preserve">nebo vyčištění </w:t>
      </w:r>
      <w:r>
        <w:t>sami provést;</w:t>
      </w:r>
    </w:p>
    <w:p w14:paraId="441E631A" w14:textId="27D11AB8" w:rsidR="00B57DBB" w:rsidRDefault="002864C6">
      <w:pPr>
        <w:numPr>
          <w:ilvl w:val="1"/>
          <w:numId w:val="17"/>
        </w:numPr>
      </w:pPr>
      <w:r>
        <w:t xml:space="preserve">jedná-li </w:t>
      </w:r>
      <w:r w:rsidR="00171CCA">
        <w:t>se o OOPP</w:t>
      </w:r>
      <w:r>
        <w:t>, který je nutné po použití vrátit na určené místo</w:t>
      </w:r>
      <w:r w:rsidR="00171CCA">
        <w:t xml:space="preserve">, musí být zaměstnanci poučeni o nutnosti </w:t>
      </w:r>
      <w:r>
        <w:t xml:space="preserve">bez zbytečného odkladu po použití </w:t>
      </w:r>
      <w:r w:rsidR="00171CCA">
        <w:t xml:space="preserve">vracet </w:t>
      </w:r>
      <w:r w:rsidR="00D2772E">
        <w:t xml:space="preserve">na určené místo </w:t>
      </w:r>
      <w:r w:rsidR="00171CCA">
        <w:t>takto poskytované OOPP v řádném a dále použitelném stavu</w:t>
      </w:r>
      <w:r w:rsidR="00D2772E">
        <w:t xml:space="preserve">, to znamená, </w:t>
      </w:r>
      <w:r w:rsidR="00171CCA">
        <w:t>po použití provést jejich dezinfekci</w:t>
      </w:r>
      <w:r w:rsidR="00D2772E">
        <w:t>, popř. vyčištění stanoveným způsobem</w:t>
      </w:r>
      <w:r w:rsidR="00171CCA">
        <w:t xml:space="preserve">. Pokud stav </w:t>
      </w:r>
      <w:r w:rsidR="00D2772E">
        <w:t xml:space="preserve">takto poskytnutého </w:t>
      </w:r>
      <w:r w:rsidR="00171CCA">
        <w:t>OOPP</w:t>
      </w:r>
      <w:r w:rsidR="00D2772E">
        <w:t xml:space="preserve"> </w:t>
      </w:r>
      <w:r w:rsidR="00171CCA">
        <w:t xml:space="preserve">po </w:t>
      </w:r>
      <w:r w:rsidR="00D2772E">
        <w:t xml:space="preserve">jeho </w:t>
      </w:r>
      <w:r w:rsidR="00171CCA">
        <w:t xml:space="preserve">použití neumožňuje jeho </w:t>
      </w:r>
      <w:r w:rsidR="00D2772E">
        <w:t>další bezpečné používání</w:t>
      </w:r>
      <w:r w:rsidR="00171CCA">
        <w:t>, je zaměstnanec, který tento stav zjistil, bez zbytečného odkladu o těchto skutečnostech povinen informovat příslušného vedoucího zaměstnance.</w:t>
      </w:r>
    </w:p>
    <w:p w14:paraId="329CE2EC" w14:textId="37659D8E" w:rsidR="00D2772E" w:rsidRDefault="00D2772E">
      <w:pPr>
        <w:numPr>
          <w:ilvl w:val="0"/>
          <w:numId w:val="17"/>
        </w:numPr>
      </w:pPr>
      <w:r>
        <w:t>Místo uložení, místo vrácení, způsob dezinfekce a vyčištění, popř. další podmínky vrácení OOPP</w:t>
      </w:r>
      <w:r w:rsidR="00E1076F">
        <w:t>, stanoví příslušný vedoucí zaměstnanec těch zaměstnanců, kterým jsou výše v odst. (1) až (3) popsaným způsobem OOPP poskytovány a tyto zaměstnance s těmito informacemi a podmínkami prokazatelně seznámí.</w:t>
      </w:r>
    </w:p>
    <w:p w14:paraId="5CCCAC18" w14:textId="72C2B4BE" w:rsidR="00B57DBB" w:rsidRDefault="00171CCA">
      <w:pPr>
        <w:numPr>
          <w:ilvl w:val="0"/>
          <w:numId w:val="17"/>
        </w:numPr>
      </w:pPr>
      <w:r>
        <w:t xml:space="preserve">Výše v odst. (1) až (3) popsaným způsobem lze poskytovat pouze ty OOPP, u nichž je </w:t>
      </w:r>
      <w:r w:rsidR="00D2772E">
        <w:t xml:space="preserve">toto </w:t>
      </w:r>
      <w:r>
        <w:t>s ohledem na hygienu možné (lze svépomoci provést dostatečnou dezinfekci</w:t>
      </w:r>
      <w:r w:rsidR="00D2772E">
        <w:t xml:space="preserve"> a vyčištění</w:t>
      </w:r>
      <w:r>
        <w:t>) a zejména potom takové OOPP, které se používají spíše výjimečně nebo po krátkou dobu nebo OOPP vyšší finanční hodnoty.</w:t>
      </w:r>
    </w:p>
    <w:p w14:paraId="32F2F1C8" w14:textId="77777777" w:rsidR="00B57DBB" w:rsidRDefault="00171CCA">
      <w:pPr>
        <w:pStyle w:val="Nadpis2"/>
      </w:pPr>
      <w:bookmarkStart w:id="33" w:name="_Toc97634972"/>
      <w:r>
        <w:t>6.3 Nárok na poskytnutí nového OOPP</w:t>
      </w:r>
      <w:bookmarkEnd w:id="33"/>
    </w:p>
    <w:p w14:paraId="2A4C0C1E" w14:textId="77777777" w:rsidR="00E1076F" w:rsidRPr="00E1076F" w:rsidRDefault="00171CCA">
      <w:pPr>
        <w:numPr>
          <w:ilvl w:val="0"/>
          <w:numId w:val="23"/>
        </w:numPr>
        <w:rPr>
          <w:b/>
          <w:bCs/>
          <w:color w:val="C00000"/>
        </w:rPr>
      </w:pPr>
      <w:r w:rsidRPr="00E1076F">
        <w:rPr>
          <w:b/>
          <w:bCs/>
          <w:color w:val="C00000"/>
        </w:rPr>
        <w:t xml:space="preserve">Nový osobní ochranný pracovní prostředek se přiděluje zaměstnanci vždy, jestliže </w:t>
      </w:r>
    </w:p>
    <w:p w14:paraId="4D4EFF6D" w14:textId="77777777" w:rsidR="00E1076F" w:rsidRDefault="00171CCA" w:rsidP="00E1076F">
      <w:pPr>
        <w:numPr>
          <w:ilvl w:val="1"/>
          <w:numId w:val="23"/>
        </w:numPr>
      </w:pPr>
      <w:r>
        <w:t xml:space="preserve">u původního skončila jeho výrobcem stanovená životnost, </w:t>
      </w:r>
    </w:p>
    <w:p w14:paraId="0E8AF4EB" w14:textId="77777777" w:rsidR="00E1076F" w:rsidRDefault="00171CCA" w:rsidP="00E1076F">
      <w:pPr>
        <w:numPr>
          <w:ilvl w:val="1"/>
          <w:numId w:val="23"/>
        </w:numPr>
      </w:pPr>
      <w:r>
        <w:t xml:space="preserve">ztratil svoje funkční vlastnosti nebo </w:t>
      </w:r>
    </w:p>
    <w:p w14:paraId="66186A26" w14:textId="77777777" w:rsidR="00E1076F" w:rsidRDefault="00E1076F" w:rsidP="00E1076F">
      <w:pPr>
        <w:numPr>
          <w:ilvl w:val="1"/>
          <w:numId w:val="23"/>
        </w:numPr>
      </w:pPr>
      <w:r>
        <w:t xml:space="preserve">ztratil </w:t>
      </w:r>
      <w:r w:rsidR="00171CCA">
        <w:t xml:space="preserve">účinnost proti vyskytujícím se rizikům anebo </w:t>
      </w:r>
    </w:p>
    <w:p w14:paraId="2D325010" w14:textId="767E4B37" w:rsidR="00B57DBB" w:rsidRDefault="00171CCA" w:rsidP="00E1076F">
      <w:pPr>
        <w:numPr>
          <w:ilvl w:val="1"/>
          <w:numId w:val="23"/>
        </w:numPr>
      </w:pPr>
      <w:r>
        <w:t>jeho používání představuje další riziko.</w:t>
      </w:r>
    </w:p>
    <w:p w14:paraId="7E363772" w14:textId="77777777" w:rsidR="00B57DBB" w:rsidRDefault="00171CCA">
      <w:r>
        <w:br w:type="page"/>
      </w:r>
    </w:p>
    <w:p w14:paraId="00FA151E" w14:textId="77777777" w:rsidR="00B57DBB" w:rsidRDefault="00171CCA">
      <w:pPr>
        <w:pStyle w:val="Nadpis2"/>
      </w:pPr>
      <w:bookmarkStart w:id="34" w:name="_Toc97634973"/>
      <w:r>
        <w:lastRenderedPageBreak/>
        <w:t>6.4 Seznámení zaměstnanců s informacemi a pokyny ke konkrétním OOPP</w:t>
      </w:r>
      <w:bookmarkEnd w:id="34"/>
    </w:p>
    <w:p w14:paraId="1508C763" w14:textId="77777777" w:rsidR="00B57DBB" w:rsidRDefault="00171CCA">
      <w:pPr>
        <w:numPr>
          <w:ilvl w:val="0"/>
          <w:numId w:val="6"/>
        </w:numPr>
      </w:pPr>
      <w:r>
        <w:t xml:space="preserve">Každý zaměstnanec musí být při poskytnutí </w:t>
      </w:r>
      <w:proofErr w:type="gramStart"/>
      <w:r>
        <w:t>OOPP</w:t>
      </w:r>
      <w:proofErr w:type="gramEnd"/>
      <w:r>
        <w:t xml:space="preserve"> a to jak do vlastních rukou nebo i v případě OOPP trvale přítomných na pracovišti, poučen osobou, která mu tyto OOPP poskytuje, alespoň o:</w:t>
      </w:r>
    </w:p>
    <w:p w14:paraId="0CD5F03E" w14:textId="1117A58C" w:rsidR="00B57DBB" w:rsidRDefault="00171CCA">
      <w:pPr>
        <w:numPr>
          <w:ilvl w:val="1"/>
          <w:numId w:val="6"/>
        </w:numPr>
      </w:pPr>
      <w:r>
        <w:t>důvodu přidělení OOPP; resp. proti kterým rizikům OOPP chrání, kdy, kde, popř. za jakých podmínek je tento OOPP nutno použít;</w:t>
      </w:r>
    </w:p>
    <w:p w14:paraId="066E4040" w14:textId="73321526" w:rsidR="00B57DBB" w:rsidRDefault="00171CCA">
      <w:pPr>
        <w:numPr>
          <w:ilvl w:val="1"/>
          <w:numId w:val="6"/>
        </w:numPr>
      </w:pPr>
      <w:r>
        <w:t>způsobu použití a zacházení s OOPP, včetně případného čištění a údržby OOPP</w:t>
      </w:r>
      <w:r w:rsidR="00FC29C8">
        <w:t>,</w:t>
      </w:r>
      <w:r>
        <w:t xml:space="preserve"> a to dle návodu výrobce poskytovaného OOPP nebo </w:t>
      </w:r>
      <w:r w:rsidR="00FC29C8">
        <w:t xml:space="preserve">i dalších </w:t>
      </w:r>
      <w:r>
        <w:t>interních pravidel.</w:t>
      </w:r>
    </w:p>
    <w:p w14:paraId="4EA3782E" w14:textId="0F9FA184" w:rsidR="00B57DBB" w:rsidRDefault="00FC29C8">
      <w:pPr>
        <w:numPr>
          <w:ilvl w:val="0"/>
          <w:numId w:val="6"/>
        </w:numPr>
      </w:pPr>
      <w:r>
        <w:t xml:space="preserve">Seznámení uvedené v odst. (1) se prokazuje záznamem v evidenčním listu o poskytnutí OOPP.  </w:t>
      </w:r>
      <w:r w:rsidR="00171CCA">
        <w:t xml:space="preserve">Zaměstnanec v evidenčním listu svým podpisem v příslušné kolonce u </w:t>
      </w:r>
      <w:r>
        <w:t xml:space="preserve">konkrétního </w:t>
      </w:r>
      <w:r w:rsidR="00171CCA">
        <w:t>OOPP</w:t>
      </w:r>
      <w:r>
        <w:t xml:space="preserve"> stvrdí svým podpisem jak seznámení minimálně v rozsahu dle odst. (1), tak i převzetí či poskytnutí (seznámení s umístěním OOPP na pracovišti) tohoto OOPP.</w:t>
      </w:r>
    </w:p>
    <w:p w14:paraId="7046633F" w14:textId="77777777" w:rsidR="00B57DBB" w:rsidRDefault="00171CCA">
      <w:pPr>
        <w:numPr>
          <w:ilvl w:val="0"/>
          <w:numId w:val="6"/>
        </w:numPr>
      </w:pPr>
      <w:r>
        <w:t>U OOPP kategorie II., příslušný vedoucí zaměstnanec zaměstnance, který takový OOPP bude používat rozhodne, zda je nutné provést prokazatelné seznámení s návodem na obsluhu včetně praktické ukázky této obsluhy. Pokud rozhodne, že ano, postupuje se dle odst. (4).</w:t>
      </w:r>
    </w:p>
    <w:p w14:paraId="575A6B03" w14:textId="77777777" w:rsidR="00B57DBB" w:rsidRDefault="00171CCA">
      <w:pPr>
        <w:numPr>
          <w:ilvl w:val="0"/>
          <w:numId w:val="6"/>
        </w:numPr>
        <w:rPr>
          <w:b/>
          <w:color w:val="C00000"/>
        </w:rPr>
      </w:pPr>
      <w:r>
        <w:rPr>
          <w:b/>
          <w:color w:val="C00000"/>
        </w:rPr>
        <w:t xml:space="preserve">U OOPP kategorie III., musí být zaměstnanec prokazatelně seznámen s návodem na obsluhu tohoto OOPP a obsluhu musí prakticky zvládat, resp. osoba provádějící seznámení s návodem toto neprovede pouze teoreticky, ale také prakticky. </w:t>
      </w:r>
    </w:p>
    <w:p w14:paraId="42C82722" w14:textId="251EEED3" w:rsidR="00B57DBB" w:rsidRDefault="00171CCA">
      <w:pPr>
        <w:numPr>
          <w:ilvl w:val="0"/>
          <w:numId w:val="6"/>
        </w:numPr>
      </w:pPr>
      <w:r>
        <w:t xml:space="preserve">Seznámení uvedená v odst. (3) a (4) provádí vždy osoba, která je </w:t>
      </w:r>
      <w:r w:rsidR="0058036D">
        <w:t xml:space="preserve">dostatečně </w:t>
      </w:r>
      <w:r>
        <w:t xml:space="preserve">znalá funkce a obsluhy daného OOPP a tuto obsluhu i prakticky </w:t>
      </w:r>
      <w:r w:rsidR="0058036D">
        <w:t>zvládá</w:t>
      </w:r>
      <w:r>
        <w:t>.</w:t>
      </w:r>
    </w:p>
    <w:p w14:paraId="1392236A" w14:textId="77777777" w:rsidR="00B57DBB" w:rsidRDefault="00171CCA">
      <w:pPr>
        <w:numPr>
          <w:ilvl w:val="0"/>
          <w:numId w:val="6"/>
        </w:numPr>
      </w:pPr>
      <w:r>
        <w:t>Pokud požadavek uvedený v odst. (5) nesplňuje žádný vedoucí zaměstnanec nebo zaměstnanec společnosti, příslušný vedoucí zaměstnanec zajistí toto seznámení externí osobou (firmou), tyto požadavky splňující. Např. pracovníkem výrobce či prodejce daného OOPP.</w:t>
      </w:r>
    </w:p>
    <w:p w14:paraId="686547BD" w14:textId="77777777" w:rsidR="00B57DBB" w:rsidRDefault="00171CCA">
      <w:pPr>
        <w:pStyle w:val="Nadpis1"/>
      </w:pPr>
      <w:bookmarkStart w:id="35" w:name="_Toc97634974"/>
      <w:r>
        <w:t>7 Zásady používání OOPP</w:t>
      </w:r>
      <w:bookmarkEnd w:id="35"/>
    </w:p>
    <w:p w14:paraId="6CF0D604" w14:textId="27082454" w:rsidR="00344FFF" w:rsidRPr="00344FFF" w:rsidRDefault="00171CCA">
      <w:pPr>
        <w:numPr>
          <w:ilvl w:val="0"/>
          <w:numId w:val="34"/>
        </w:numPr>
      </w:pPr>
      <w:r>
        <w:rPr>
          <w:b/>
          <w:color w:val="C00000"/>
        </w:rPr>
        <w:t xml:space="preserve">Zaměstnanec je povinen použít přidělený OOPP vždy, pokud je ohrožen nebo může být ohrožen riziky, proti jejichž působení mu je daný OOPP poskytnut a proti nimž tento OOPP </w:t>
      </w:r>
      <w:r w:rsidR="00344FFF">
        <w:rPr>
          <w:b/>
          <w:color w:val="C00000"/>
        </w:rPr>
        <w:t>chrání,</w:t>
      </w:r>
      <w:r>
        <w:rPr>
          <w:b/>
          <w:color w:val="C00000"/>
        </w:rPr>
        <w:t xml:space="preserve"> a to nezávisle na době expozice těmto rizikům. </w:t>
      </w:r>
    </w:p>
    <w:p w14:paraId="107DFA46" w14:textId="6E4F552E" w:rsidR="00B57DBB" w:rsidRDefault="00171CCA" w:rsidP="00344FFF">
      <w:pPr>
        <w:ind w:left="720"/>
      </w:pPr>
      <w:r>
        <w:t>Při výdeji OOPP a dále v rámci školení o právních a ostatních předpisech k zajištění BOZP, jsou zaměstnanci seznámeni s činnostmi, které vyžadují použití OOPP.</w:t>
      </w:r>
    </w:p>
    <w:p w14:paraId="4BF71663" w14:textId="37941AA1" w:rsidR="00B57DBB" w:rsidRDefault="00171CCA">
      <w:pPr>
        <w:numPr>
          <w:ilvl w:val="0"/>
          <w:numId w:val="34"/>
        </w:numPr>
      </w:pPr>
      <w:r>
        <w:t xml:space="preserve">Zaměstnanci používají OOPP vždy plně v souladu s návodem výrobce, dle pokynů příslušných vedoucích zaměstnanců a v souladu s požadavky </w:t>
      </w:r>
      <w:r w:rsidR="00344FFF">
        <w:t>tohoto dokumentu, popř. další interní dokumentace.</w:t>
      </w:r>
    </w:p>
    <w:p w14:paraId="6122AE54" w14:textId="77777777" w:rsidR="00B57DBB" w:rsidRPr="00344FFF" w:rsidRDefault="00171CCA">
      <w:pPr>
        <w:numPr>
          <w:ilvl w:val="0"/>
          <w:numId w:val="34"/>
        </w:numPr>
        <w:rPr>
          <w:color w:val="C00000"/>
        </w:rPr>
      </w:pPr>
      <w:r w:rsidRPr="00344FFF">
        <w:rPr>
          <w:color w:val="C00000"/>
        </w:rPr>
        <w:t>Zaměstnancům se zakazuje používat přidělené OOPP pro osobní účely nebo pro jiné účely, než ke kterým jim byly OOPP poskytnuty nebo ke kterým jsou konstruovány.</w:t>
      </w:r>
    </w:p>
    <w:p w14:paraId="0A86A89B" w14:textId="77777777" w:rsidR="00B57DBB" w:rsidRDefault="00171CCA">
      <w:pPr>
        <w:numPr>
          <w:ilvl w:val="0"/>
          <w:numId w:val="34"/>
        </w:numPr>
      </w:pPr>
      <w:r>
        <w:t xml:space="preserve">Pokud má zaměstnanec podezření, že by použití OOPP </w:t>
      </w:r>
      <w:r w:rsidRPr="00DD1F1F">
        <w:rPr>
          <w:b/>
          <w:bCs/>
          <w:color w:val="C00000"/>
        </w:rPr>
        <w:t>mohlo způsobit ohrožení jeho zdraví nebo zdraví jiných osob</w:t>
      </w:r>
      <w:r>
        <w:t xml:space="preserve">, </w:t>
      </w:r>
      <w:r w:rsidRPr="00DD1F1F">
        <w:rPr>
          <w:b/>
          <w:bCs/>
          <w:color w:val="C00000"/>
        </w:rPr>
        <w:t>přeruší práci</w:t>
      </w:r>
      <w:r w:rsidRPr="00DD1F1F">
        <w:rPr>
          <w:color w:val="C00000"/>
        </w:rPr>
        <w:t xml:space="preserve"> </w:t>
      </w:r>
      <w:r>
        <w:t>a o této skutečnosti uvědomí příslušného vedoucího zaměstnance, který je povinen tyto skutečnosti řádně prozkoumat a určit další bezpečný postup.</w:t>
      </w:r>
    </w:p>
    <w:p w14:paraId="0D3D9CEE" w14:textId="0B9ABBFE" w:rsidR="00DD1F1F" w:rsidRDefault="00171CCA" w:rsidP="00DD1F1F">
      <w:pPr>
        <w:numPr>
          <w:ilvl w:val="0"/>
          <w:numId w:val="34"/>
        </w:numPr>
      </w:pPr>
      <w:r>
        <w:t>Pokud</w:t>
      </w:r>
      <w:r w:rsidR="00DD1F1F">
        <w:t xml:space="preserve"> </w:t>
      </w:r>
      <w:r>
        <w:t xml:space="preserve">zaměstnanec při práci nebo i souvisejících činnostech v rámci pobytu na pracovištích společnosti nebo v rámci plnění pracovních </w:t>
      </w:r>
      <w:r w:rsidR="00DD1F1F">
        <w:t>úkolů,</w:t>
      </w:r>
      <w:r>
        <w:t xml:space="preserve"> a to z jakéhokoliv důvodu</w:t>
      </w:r>
      <w:r w:rsidR="00DD1F1F">
        <w:t>,</w:t>
      </w:r>
      <w:r>
        <w:t xml:space="preserve"> </w:t>
      </w:r>
      <w:r w:rsidR="00DD1F1F" w:rsidRPr="00DD1F1F">
        <w:rPr>
          <w:b/>
          <w:bCs/>
          <w:color w:val="C00000"/>
        </w:rPr>
        <w:t xml:space="preserve">nemá </w:t>
      </w:r>
      <w:r w:rsidRPr="00DD1F1F">
        <w:rPr>
          <w:b/>
          <w:bCs/>
          <w:color w:val="C00000"/>
        </w:rPr>
        <w:t>k dispozici OOPP</w:t>
      </w:r>
      <w:r w:rsidRPr="00DD1F1F">
        <w:rPr>
          <w:color w:val="C00000"/>
        </w:rPr>
        <w:t xml:space="preserve"> </w:t>
      </w:r>
      <w:r>
        <w:t xml:space="preserve">proti působícím rizikům, která ho mohou zjevně ohrozit na životě či zdraví, je takový zaměstnanec povinen </w:t>
      </w:r>
      <w:r w:rsidRPr="00DD1F1F">
        <w:rPr>
          <w:b/>
          <w:bCs/>
          <w:color w:val="C00000"/>
        </w:rPr>
        <w:t>neprodleně přerušit práci / činnost</w:t>
      </w:r>
      <w:r w:rsidRPr="00DD1F1F">
        <w:rPr>
          <w:color w:val="C00000"/>
        </w:rPr>
        <w:t xml:space="preserve"> </w:t>
      </w:r>
      <w:r>
        <w:t xml:space="preserve">nebo tuto práci / činnost </w:t>
      </w:r>
      <w:r w:rsidRPr="00DD1F1F">
        <w:rPr>
          <w:b/>
          <w:bCs/>
          <w:color w:val="C00000"/>
        </w:rPr>
        <w:t>nesmí ani započít</w:t>
      </w:r>
      <w:r w:rsidRPr="00DD1F1F">
        <w:rPr>
          <w:color w:val="C00000"/>
        </w:rPr>
        <w:t xml:space="preserve"> </w:t>
      </w:r>
      <w:r>
        <w:t>a o těchto skutečnostech je povinen neprodleně uvědomit příslušného vedoucího zaměstnance. Vedoucí zaměstnanec bez zbytečného odkladu zjedná nápravu.</w:t>
      </w:r>
    </w:p>
    <w:p w14:paraId="5383C20B" w14:textId="77777777" w:rsidR="00B57DBB" w:rsidRDefault="00171CCA">
      <w:r>
        <w:br w:type="page"/>
      </w:r>
    </w:p>
    <w:p w14:paraId="00B7F98A" w14:textId="77777777" w:rsidR="00B57DBB" w:rsidRDefault="00171CCA">
      <w:pPr>
        <w:pStyle w:val="Nadpis2"/>
      </w:pPr>
      <w:bookmarkStart w:id="36" w:name="_Toc97634975"/>
      <w:r>
        <w:lastRenderedPageBreak/>
        <w:t>7.1 Bezpečnostní přestávky při použití OOPP</w:t>
      </w:r>
      <w:bookmarkEnd w:id="36"/>
    </w:p>
    <w:p w14:paraId="6573E643" w14:textId="77777777" w:rsidR="00DD1F1F" w:rsidRDefault="00171CCA">
      <w:pPr>
        <w:numPr>
          <w:ilvl w:val="0"/>
          <w:numId w:val="12"/>
        </w:numPr>
      </w:pPr>
      <w:r>
        <w:t xml:space="preserve">Zaměstnanci, kteří mají pro svou práci stanoveny OOPP, které jim ztěžují </w:t>
      </w:r>
    </w:p>
    <w:p w14:paraId="2D8283EF" w14:textId="77777777" w:rsidR="00DD1F1F" w:rsidRDefault="00171CCA" w:rsidP="00DD1F1F">
      <w:pPr>
        <w:numPr>
          <w:ilvl w:val="1"/>
          <w:numId w:val="12"/>
        </w:numPr>
      </w:pPr>
      <w:r>
        <w:t xml:space="preserve">pohyb, </w:t>
      </w:r>
    </w:p>
    <w:p w14:paraId="048B531C" w14:textId="77777777" w:rsidR="00DD1F1F" w:rsidRDefault="00171CCA" w:rsidP="00DD1F1F">
      <w:pPr>
        <w:numPr>
          <w:ilvl w:val="1"/>
          <w:numId w:val="12"/>
        </w:numPr>
      </w:pPr>
      <w:r>
        <w:t xml:space="preserve">dýchání, </w:t>
      </w:r>
    </w:p>
    <w:p w14:paraId="4F760800" w14:textId="77777777" w:rsidR="00DD1F1F" w:rsidRDefault="00171CCA" w:rsidP="00DD1F1F">
      <w:pPr>
        <w:numPr>
          <w:ilvl w:val="1"/>
          <w:numId w:val="12"/>
        </w:numPr>
      </w:pPr>
      <w:r>
        <w:t xml:space="preserve">vidění a </w:t>
      </w:r>
    </w:p>
    <w:p w14:paraId="58515361" w14:textId="77777777" w:rsidR="00DD1F1F" w:rsidRDefault="00171CCA" w:rsidP="00DD1F1F">
      <w:pPr>
        <w:numPr>
          <w:ilvl w:val="1"/>
          <w:numId w:val="12"/>
        </w:numPr>
      </w:pPr>
      <w:r>
        <w:t xml:space="preserve">jiné fyziologické funkce, </w:t>
      </w:r>
    </w:p>
    <w:p w14:paraId="2CECD8EF" w14:textId="42F88548" w:rsidR="00B57DBB" w:rsidRDefault="00171CCA" w:rsidP="00DD1F1F">
      <w:pPr>
        <w:ind w:left="720"/>
      </w:pPr>
      <w:r>
        <w:t xml:space="preserve">mají za níže uvedených podmínek </w:t>
      </w:r>
      <w:r w:rsidRPr="003C3167">
        <w:rPr>
          <w:b/>
          <w:bCs/>
          <w:color w:val="C00000"/>
        </w:rPr>
        <w:t>povinnost čerpat bezpečnostní přestávky</w:t>
      </w:r>
      <w:r>
        <w:t>:</w:t>
      </w:r>
    </w:p>
    <w:p w14:paraId="154B0C57" w14:textId="2735D0D5" w:rsidR="00B57DBB" w:rsidRDefault="00171CCA">
      <w:pPr>
        <w:numPr>
          <w:ilvl w:val="1"/>
          <w:numId w:val="12"/>
        </w:numPr>
      </w:pPr>
      <w:r>
        <w:t>zaměstnanec je nucen OOPP uvedené v odst. (1)</w:t>
      </w:r>
      <w:r w:rsidR="00DD1F1F">
        <w:t>, bodech 1.1 až 1.4</w:t>
      </w:r>
      <w:r>
        <w:t xml:space="preserve"> používat během směny </w:t>
      </w:r>
      <w:r w:rsidRPr="003C3167">
        <w:rPr>
          <w:color w:val="C00000"/>
        </w:rPr>
        <w:t xml:space="preserve">nepřetržitě, déle než 2 hodiny </w:t>
      </w:r>
      <w:r>
        <w:t>– bezpečnostní přestávka se poskytuje po dvou hodinách od započetí práce s OOPP v délce 15 min;</w:t>
      </w:r>
    </w:p>
    <w:p w14:paraId="1F30682D" w14:textId="256A69B9" w:rsidR="003C3167" w:rsidRDefault="00171CCA">
      <w:pPr>
        <w:numPr>
          <w:ilvl w:val="1"/>
          <w:numId w:val="12"/>
        </w:numPr>
      </w:pPr>
      <w:r>
        <w:t>v případě, že doba práce s OOPP uvedenými v odst. (1) pokračuje i po první bezpečnostní přestávce, uvedené v odst. 1.</w:t>
      </w:r>
      <w:r w:rsidR="003C3167">
        <w:t>5</w:t>
      </w:r>
      <w:r>
        <w:t>, poskytují se následné bezpečnostní přestávky v délce 10</w:t>
      </w:r>
      <w:r w:rsidR="003C3167">
        <w:t> </w:t>
      </w:r>
      <w:r>
        <w:t xml:space="preserve">min a tyto se zařazují po každých dvou hodinách od ukončení předchozí bezpečnostní přestávky. </w:t>
      </w:r>
    </w:p>
    <w:p w14:paraId="7B251778" w14:textId="1CE52E5D" w:rsidR="00B57DBB" w:rsidRDefault="00171CCA" w:rsidP="003C3167">
      <w:pPr>
        <w:ind w:left="1440"/>
      </w:pPr>
      <w:r>
        <w:t>Poslední bezpečnostní přestávka v trvání 10 min se zařazuje nejpozději 1 hodinu před ukončením směny.</w:t>
      </w:r>
    </w:p>
    <w:p w14:paraId="439E8DD4" w14:textId="77777777" w:rsidR="003C3167" w:rsidRPr="003C3167" w:rsidRDefault="00171CCA">
      <w:pPr>
        <w:numPr>
          <w:ilvl w:val="0"/>
          <w:numId w:val="12"/>
        </w:numPr>
        <w:rPr>
          <w:b/>
          <w:bCs/>
          <w:color w:val="C00000"/>
        </w:rPr>
      </w:pPr>
      <w:r w:rsidRPr="003C3167">
        <w:rPr>
          <w:b/>
          <w:bCs/>
          <w:color w:val="C00000"/>
        </w:rPr>
        <w:t xml:space="preserve">Bezpečnostní přestávka slouží primárně k úlevně </w:t>
      </w:r>
      <w:proofErr w:type="gramStart"/>
      <w:r w:rsidRPr="003C3167">
        <w:rPr>
          <w:b/>
          <w:bCs/>
          <w:color w:val="C00000"/>
        </w:rPr>
        <w:t>organizmu</w:t>
      </w:r>
      <w:proofErr w:type="gramEnd"/>
      <w:r w:rsidRPr="003C3167">
        <w:rPr>
          <w:b/>
          <w:bCs/>
          <w:color w:val="C00000"/>
        </w:rPr>
        <w:t xml:space="preserve"> od daného rizika a omezení plynoucích z používání OOPP. </w:t>
      </w:r>
    </w:p>
    <w:p w14:paraId="59023F14" w14:textId="7E66AA41" w:rsidR="00B57DBB" w:rsidRDefault="00171CCA" w:rsidP="003C3167">
      <w:pPr>
        <w:ind w:left="720"/>
      </w:pPr>
      <w:r>
        <w:t>Během bezpečnostní přestávky musí mít zaměstnanec možnost, ty OOPP, které ztěžují pohyb, dýchání, vidění a jiné fyziologické funkce, odložit. Během bezpečnostní přestávky mohou zaměstnanci vykonávat jiné práce.</w:t>
      </w:r>
    </w:p>
    <w:p w14:paraId="463ADAD3" w14:textId="77777777" w:rsidR="00B57DBB" w:rsidRDefault="00171CCA">
      <w:pPr>
        <w:numPr>
          <w:ilvl w:val="0"/>
          <w:numId w:val="12"/>
        </w:numPr>
      </w:pPr>
      <w:r>
        <w:t>Bezpečnostní přestávka se započítává do pracovní doby. Připadne-li bezpečnostní přestávka na dobu přestávky v práci na jídlo a oddech, započítá se tato přestávka do pracovní doby.</w:t>
      </w:r>
    </w:p>
    <w:p w14:paraId="5AE9B475" w14:textId="77777777" w:rsidR="00B57DBB" w:rsidRDefault="00171CCA">
      <w:pPr>
        <w:numPr>
          <w:ilvl w:val="0"/>
          <w:numId w:val="12"/>
        </w:numPr>
      </w:pPr>
      <w:r>
        <w:t>Během bezpečnostní přestávky může zaměstnanec vykonávat pouze takové pracovní činnosti, pro něž není stanoveno použití OOPP, které jsou důvodem poskytnutí bezpečnostní přestávky.</w:t>
      </w:r>
    </w:p>
    <w:p w14:paraId="52BCC43E" w14:textId="77777777" w:rsidR="00B57DBB" w:rsidRDefault="00171CCA">
      <w:pPr>
        <w:pStyle w:val="Nadpis2"/>
      </w:pPr>
      <w:bookmarkStart w:id="37" w:name="_Toc97634976"/>
      <w:r>
        <w:t>7.2 Doba životnosti OOPP</w:t>
      </w:r>
      <w:bookmarkEnd w:id="37"/>
    </w:p>
    <w:p w14:paraId="2EC17343" w14:textId="77777777" w:rsidR="00B57DBB" w:rsidRDefault="00171CCA">
      <w:pPr>
        <w:numPr>
          <w:ilvl w:val="0"/>
          <w:numId w:val="29"/>
        </w:numPr>
      </w:pPr>
      <w:r>
        <w:t>Maximální doba použitelnosti poskytovaných OOPP je stanovena výrobcem v průvodní dokumentaci a tato nesmí být překročena.</w:t>
      </w:r>
    </w:p>
    <w:p w14:paraId="4E6FAB07" w14:textId="77777777" w:rsidR="00B57DBB" w:rsidRDefault="00171CCA">
      <w:pPr>
        <w:numPr>
          <w:ilvl w:val="0"/>
          <w:numId w:val="29"/>
        </w:numPr>
      </w:pPr>
      <w:r>
        <w:t>Zaměstnavatel může stanovit orientační dobu použitelnosti poskytovaných OOPP, která musí být vždy kratší nebo rovna maximální době použitelnosti, viz odst. (1). Takto případně stanovená doba použitelnosti se uvádí v seznamu poskytovaných OOPP.</w:t>
      </w:r>
    </w:p>
    <w:p w14:paraId="2D0115A5" w14:textId="77777777" w:rsidR="00B57DBB" w:rsidRPr="003C3167" w:rsidRDefault="00171CCA">
      <w:pPr>
        <w:numPr>
          <w:ilvl w:val="0"/>
          <w:numId w:val="29"/>
        </w:numPr>
        <w:rPr>
          <w:b/>
          <w:bCs/>
          <w:color w:val="C00000"/>
        </w:rPr>
      </w:pPr>
      <w:r w:rsidRPr="003C3167">
        <w:rPr>
          <w:b/>
          <w:bCs/>
          <w:color w:val="C00000"/>
        </w:rPr>
        <w:t>Zaměstnanci jsou povinni, u jim poskytnutých OOPP, sledovat dobu životnosti těchto OOPP a včas požádat příslušného vedoucího zaměstnance o přidělení nového OOPP.</w:t>
      </w:r>
    </w:p>
    <w:p w14:paraId="1DA81636" w14:textId="77777777" w:rsidR="00B57DBB" w:rsidRDefault="00171CCA">
      <w:pPr>
        <w:pStyle w:val="Nadpis2"/>
      </w:pPr>
      <w:bookmarkStart w:id="38" w:name="_Toc97634977"/>
      <w:r>
        <w:t>7.3 Skladování OOPP</w:t>
      </w:r>
      <w:bookmarkEnd w:id="38"/>
    </w:p>
    <w:p w14:paraId="5468E318" w14:textId="77777777" w:rsidR="00B57DBB" w:rsidRDefault="00171CCA">
      <w:pPr>
        <w:numPr>
          <w:ilvl w:val="0"/>
          <w:numId w:val="10"/>
        </w:numPr>
      </w:pPr>
      <w:r>
        <w:t>OOPP se skladují dle pokynů výrobce OOPP, resp. v souladu s návodem výrobce.</w:t>
      </w:r>
    </w:p>
    <w:p w14:paraId="56DCE283" w14:textId="77777777" w:rsidR="00B57DBB" w:rsidRDefault="00171CCA">
      <w:pPr>
        <w:numPr>
          <w:ilvl w:val="0"/>
          <w:numId w:val="10"/>
        </w:numPr>
      </w:pPr>
      <w:r>
        <w:t xml:space="preserve">Pokud pokyny výrobce ke skladování OOPP nejsou k dispozici, vhodný způsob skladování </w:t>
      </w:r>
      <w:proofErr w:type="gramStart"/>
      <w:r>
        <w:t>určí</w:t>
      </w:r>
      <w:proofErr w:type="gramEnd"/>
      <w:r>
        <w:t xml:space="preserve"> příslušný vedoucí zaměstnanec, na jehož pracovišti se budou OOPP skladovat, přičemž platí zásada, že OOPP musí být skladovány přibližně za normálních pokojových podmínek, nikdy ne v nadměrném vlhku, chladu, teple nebo na přímém slunečním záření.</w:t>
      </w:r>
    </w:p>
    <w:p w14:paraId="72EAB0C6" w14:textId="34B3CE91" w:rsidR="00B57DBB" w:rsidRDefault="00171CCA">
      <w:pPr>
        <w:numPr>
          <w:ilvl w:val="0"/>
          <w:numId w:val="10"/>
        </w:numPr>
      </w:pPr>
      <w:r>
        <w:t>OOPP se skladují v originálních obalech, pokud jsou těmito opatřeny.</w:t>
      </w:r>
    </w:p>
    <w:p w14:paraId="71084E44" w14:textId="3DFB339B" w:rsidR="003C3167" w:rsidRDefault="003C3167">
      <w:r>
        <w:br w:type="page"/>
      </w:r>
    </w:p>
    <w:p w14:paraId="308C9F6E" w14:textId="77777777" w:rsidR="00B57DBB" w:rsidRDefault="00171CCA">
      <w:pPr>
        <w:pStyle w:val="Nadpis2"/>
      </w:pPr>
      <w:bookmarkStart w:id="39" w:name="_Toc97634978"/>
      <w:r>
        <w:lastRenderedPageBreak/>
        <w:t>7.4 Údržba OOPP</w:t>
      </w:r>
      <w:bookmarkEnd w:id="39"/>
    </w:p>
    <w:p w14:paraId="1DCD1069" w14:textId="77777777" w:rsidR="00B57DBB" w:rsidRDefault="00171CCA">
      <w:pPr>
        <w:numPr>
          <w:ilvl w:val="0"/>
          <w:numId w:val="27"/>
        </w:numPr>
      </w:pPr>
      <w:r>
        <w:t>OOPP jsou udržovány v souladu s požadavky výrobce (dle návodu výrobce) nebo, pokud tyto nejsou k dispozici, dle pokynů příslušného vedoucího zaměstnance.</w:t>
      </w:r>
    </w:p>
    <w:p w14:paraId="5EFB50A1" w14:textId="5CD04134" w:rsidR="00B57DBB" w:rsidRDefault="00171CCA">
      <w:pPr>
        <w:numPr>
          <w:ilvl w:val="0"/>
          <w:numId w:val="27"/>
        </w:numPr>
      </w:pPr>
      <w:r>
        <w:t>Zaměstnavatel zajišťuje udržování OOPP v použivatelném stavu, přičemž jednotliví vedoucí zaměstnanci sami rozhodnou o způsobech provádění údržby.</w:t>
      </w:r>
    </w:p>
    <w:p w14:paraId="6A510B13" w14:textId="3C6257AF" w:rsidR="00B57DBB" w:rsidRDefault="00171CCA">
      <w:pPr>
        <w:numPr>
          <w:ilvl w:val="0"/>
          <w:numId w:val="27"/>
        </w:numPr>
      </w:pPr>
      <w:r>
        <w:t>Všechny OOPP, především pak oděvy a obuv</w:t>
      </w:r>
      <w:r w:rsidR="003C3167">
        <w:t>,</w:t>
      </w:r>
      <w:r>
        <w:t xml:space="preserve"> musejí být udržovány v hygienicky bezzávadném stavu. Zaměstnavatel u těchto zajišťuje jejich dezinfekci, praní, čištění nebo i jiné potřebné úkony a pokud těmito činnostmi </w:t>
      </w:r>
      <w:proofErr w:type="gramStart"/>
      <w:r>
        <w:t>pověří</w:t>
      </w:r>
      <w:proofErr w:type="gramEnd"/>
      <w:r>
        <w:t xml:space="preserve"> zaměstnance, který OOPP používá, tomuto uhradí přiměřené finanční náklady spojené s touto údržbou.</w:t>
      </w:r>
    </w:p>
    <w:p w14:paraId="4222C8E5" w14:textId="77777777" w:rsidR="00B57DBB" w:rsidRDefault="00171CCA">
      <w:pPr>
        <w:pStyle w:val="Nadpis3"/>
      </w:pPr>
      <w:bookmarkStart w:id="40" w:name="_Toc97634979"/>
      <w:commentRangeStart w:id="41"/>
      <w:r>
        <w:t>7.4.1 Podmínky údržby OOPP zaměstnanci</w:t>
      </w:r>
      <w:commentRangeEnd w:id="41"/>
      <w:r w:rsidR="00C35DD7">
        <w:rPr>
          <w:rStyle w:val="Odkaznakoment"/>
          <w:b w:val="0"/>
          <w:color w:val="auto"/>
        </w:rPr>
        <w:commentReference w:id="41"/>
      </w:r>
      <w:bookmarkEnd w:id="40"/>
    </w:p>
    <w:p w14:paraId="4B81CFBC" w14:textId="30A7A59C" w:rsidR="00B57DBB" w:rsidRDefault="00171CCA">
      <w:pPr>
        <w:numPr>
          <w:ilvl w:val="0"/>
          <w:numId w:val="22"/>
        </w:numPr>
      </w:pPr>
      <w:r>
        <w:t xml:space="preserve">Provádění běžné údržby jako např. vyprání oděvu, přišití knoflíku, oprava roztržení, čištění </w:t>
      </w:r>
      <w:r w:rsidR="00BB6FB9">
        <w:t>obuvi</w:t>
      </w:r>
      <w:r>
        <w:t xml:space="preserve"> apod. je povinen si zajistit zaměstnanec vlastními prostředky.</w:t>
      </w:r>
    </w:p>
    <w:p w14:paraId="4E0B3145" w14:textId="58FF5289" w:rsidR="00B57DBB" w:rsidRDefault="00171CCA">
      <w:pPr>
        <w:numPr>
          <w:ilvl w:val="0"/>
          <w:numId w:val="22"/>
        </w:numPr>
      </w:pPr>
      <w:r>
        <w:t xml:space="preserve">Pro tyto účely společnost podle míry znečištění poskytuje zaměstnanci, kterému je dle této směrnice vydáván </w:t>
      </w:r>
      <w:r w:rsidR="00BB6FB9">
        <w:t xml:space="preserve">pracovní </w:t>
      </w:r>
      <w:r>
        <w:t>oděv</w:t>
      </w:r>
      <w:r w:rsidR="00BB6FB9">
        <w:t xml:space="preserve">, </w:t>
      </w:r>
      <w:r>
        <w:t>za kalendářní</w:t>
      </w:r>
      <w:r w:rsidR="00BB6FB9">
        <w:t xml:space="preserve"> rok</w:t>
      </w:r>
      <w:r>
        <w:t>:</w:t>
      </w:r>
    </w:p>
    <w:p w14:paraId="1E6DF2F8" w14:textId="6C4B9525" w:rsidR="00B57DBB" w:rsidRDefault="00171CCA">
      <w:pPr>
        <w:numPr>
          <w:ilvl w:val="1"/>
          <w:numId w:val="22"/>
        </w:numPr>
      </w:pPr>
      <w:r>
        <w:t>nejméně 20 dávek pracího prostředku</w:t>
      </w:r>
      <w:r w:rsidR="00BB6FB9">
        <w:t xml:space="preserve"> v případě prací čistých a méně čistých;</w:t>
      </w:r>
    </w:p>
    <w:p w14:paraId="7B0ED1D5" w14:textId="2AA5AD52" w:rsidR="00B57DBB" w:rsidRDefault="00171CCA">
      <w:pPr>
        <w:numPr>
          <w:ilvl w:val="1"/>
          <w:numId w:val="22"/>
        </w:numPr>
      </w:pPr>
      <w:r>
        <w:t xml:space="preserve">nejméně 40 dávek pracího prostředku </w:t>
      </w:r>
      <w:r w:rsidR="00BB6FB9">
        <w:t>v případě prací nečistých a velmi nečistých.</w:t>
      </w:r>
    </w:p>
    <w:p w14:paraId="30F6E673" w14:textId="5695667C" w:rsidR="00B113D7" w:rsidRDefault="00B113D7" w:rsidP="00B113D7">
      <w:pPr>
        <w:numPr>
          <w:ilvl w:val="0"/>
          <w:numId w:val="22"/>
        </w:numPr>
      </w:pPr>
      <w:r>
        <w:t>Rozdělení prací z hlediska znečištění upravuje zvláštní právní předpis</w:t>
      </w:r>
      <w:r>
        <w:rPr>
          <w:rStyle w:val="Znakapoznpodarou"/>
        </w:rPr>
        <w:footnoteReference w:id="11"/>
      </w:r>
      <w:r>
        <w:t xml:space="preserve">. </w:t>
      </w:r>
    </w:p>
    <w:p w14:paraId="0294CBFF" w14:textId="77777777" w:rsidR="00B57DBB" w:rsidRDefault="00171CCA">
      <w:pPr>
        <w:numPr>
          <w:ilvl w:val="0"/>
          <w:numId w:val="22"/>
        </w:numPr>
      </w:pPr>
      <w:r>
        <w:t>Chemické čištění oděvů (kabátů proti chladu, impregnovaných oděvů pro svářeče apod.) zajišťuje společnost na vlastní náklady.</w:t>
      </w:r>
    </w:p>
    <w:p w14:paraId="2162B39B" w14:textId="77777777" w:rsidR="00B57DBB" w:rsidRDefault="00171CCA">
      <w:pPr>
        <w:pStyle w:val="Nadpis2"/>
      </w:pPr>
      <w:bookmarkStart w:id="42" w:name="_Toc97634980"/>
      <w:r>
        <w:t>7.5 Vrácení, likvidace OOPP</w:t>
      </w:r>
      <w:bookmarkEnd w:id="42"/>
    </w:p>
    <w:p w14:paraId="6290FD1A" w14:textId="77777777" w:rsidR="00B57DBB" w:rsidRDefault="00171CCA">
      <w:pPr>
        <w:numPr>
          <w:ilvl w:val="0"/>
          <w:numId w:val="31"/>
        </w:numPr>
      </w:pPr>
      <w:r>
        <w:t>Zaměstnanci vracejí:</w:t>
      </w:r>
    </w:p>
    <w:p w14:paraId="6F4ABD56" w14:textId="77777777" w:rsidR="00B57DBB" w:rsidRDefault="00171CCA">
      <w:pPr>
        <w:numPr>
          <w:ilvl w:val="1"/>
          <w:numId w:val="31"/>
        </w:numPr>
      </w:pPr>
      <w:r>
        <w:t>OOPP, které jsou trvale na pracovišti, u nichž to plyne ze způsobu použití, např. ochranné přilby, obličejový štít apod.;</w:t>
      </w:r>
    </w:p>
    <w:p w14:paraId="214E85DA" w14:textId="77777777" w:rsidR="00B57DBB" w:rsidRDefault="00171CCA">
      <w:pPr>
        <w:numPr>
          <w:ilvl w:val="1"/>
          <w:numId w:val="31"/>
        </w:numPr>
      </w:pPr>
      <w:r>
        <w:t>OOPP, které jsou jim poskytnuty pouze dočasně, pro výkon výjimečných pracovních činností;</w:t>
      </w:r>
    </w:p>
    <w:p w14:paraId="5C71CE8A" w14:textId="77777777" w:rsidR="00B57DBB" w:rsidRDefault="00171CCA">
      <w:pPr>
        <w:numPr>
          <w:ilvl w:val="1"/>
          <w:numId w:val="31"/>
        </w:numPr>
      </w:pPr>
      <w:r>
        <w:t>nepoškozené OOPP, po ukončení pracovního poměru nebo přeložení na jinou práci, u níž nevzniká nárok na jejich poskytnutí;</w:t>
      </w:r>
    </w:p>
    <w:p w14:paraId="150D75E0" w14:textId="77777777" w:rsidR="00B57DBB" w:rsidRDefault="00171CCA">
      <w:pPr>
        <w:numPr>
          <w:ilvl w:val="1"/>
          <w:numId w:val="31"/>
        </w:numPr>
      </w:pPr>
      <w:r>
        <w:t>poškozené OOPP, které ztratily svou ochrannou funkci;</w:t>
      </w:r>
    </w:p>
    <w:p w14:paraId="406FE1E0" w14:textId="77777777" w:rsidR="00B57DBB" w:rsidRDefault="00171CCA">
      <w:pPr>
        <w:numPr>
          <w:ilvl w:val="1"/>
          <w:numId w:val="31"/>
        </w:numPr>
      </w:pPr>
      <w:r>
        <w:t>OOPP, u nichž došlo k překročení doby životnosti;</w:t>
      </w:r>
    </w:p>
    <w:p w14:paraId="1F391D80" w14:textId="77777777" w:rsidR="00B57DBB" w:rsidRDefault="00171CCA">
      <w:pPr>
        <w:numPr>
          <w:ilvl w:val="1"/>
          <w:numId w:val="31"/>
        </w:numPr>
      </w:pPr>
      <w:r>
        <w:t>OOPP, pokud pominuly důvody jejich poskytnutí.</w:t>
      </w:r>
    </w:p>
    <w:p w14:paraId="6D2D8A25" w14:textId="77777777" w:rsidR="00B57DBB" w:rsidRDefault="00171CCA">
      <w:pPr>
        <w:numPr>
          <w:ilvl w:val="0"/>
          <w:numId w:val="31"/>
        </w:numPr>
      </w:pPr>
      <w:r>
        <w:t>Zaměstnanci OOPP vracejí příslušnému vedoucímu zaměstnanci, který zajistí jejich přípravu (kontrolu, čištění, údržbu a dezinfekci) pro další použití nebo jejich likvidaci vhodným způsobem a zejména v souladu s právními předpisy na ochranu životního prostředí.</w:t>
      </w:r>
    </w:p>
    <w:p w14:paraId="071994B2" w14:textId="77777777" w:rsidR="00B57DBB" w:rsidRDefault="00171CCA">
      <w:pPr>
        <w:numPr>
          <w:ilvl w:val="0"/>
          <w:numId w:val="31"/>
        </w:numPr>
      </w:pPr>
      <w:r>
        <w:t>Likvidace se provádí bez zbytečného odkladu u těch OOPP, které ztratily svou ochrannou funkci nebo jsou i z jiných opodstatněných důvodů nepoužitelné a neopravitelné.</w:t>
      </w:r>
    </w:p>
    <w:p w14:paraId="7B6A2FD3" w14:textId="5AF0FAE8" w:rsidR="00B57DBB" w:rsidRDefault="00171CCA">
      <w:pPr>
        <w:numPr>
          <w:ilvl w:val="0"/>
          <w:numId w:val="31"/>
        </w:numPr>
      </w:pPr>
      <w:r>
        <w:t xml:space="preserve">V případě, že zaměstnanec </w:t>
      </w:r>
      <w:proofErr w:type="gramStart"/>
      <w:r>
        <w:t>předloží</w:t>
      </w:r>
      <w:proofErr w:type="gramEnd"/>
      <w:r>
        <w:t xml:space="preserve"> poškozený nebo zničený OOPP před uplynutím doby použitelnosti, posoudí </w:t>
      </w:r>
      <w:r w:rsidR="00C35DD7">
        <w:t>příslušný vedoucí zaměstnanec,</w:t>
      </w:r>
      <w:r>
        <w:t xml:space="preserve"> jak k poškození došlo. Prokáže-li</w:t>
      </w:r>
      <w:r w:rsidR="00C35DD7">
        <w:t xml:space="preserve"> se</w:t>
      </w:r>
      <w:r>
        <w:t>, že poškození bylo úmyslné nebo vzniklo nesprávným používáním OOPP, předepíše podřízenému tento OOPP plně nebo částečně k náhradě.</w:t>
      </w:r>
    </w:p>
    <w:p w14:paraId="33B9B694" w14:textId="77777777" w:rsidR="00B57DBB" w:rsidRDefault="00171CCA">
      <w:r>
        <w:br w:type="page"/>
      </w:r>
    </w:p>
    <w:p w14:paraId="769E083B" w14:textId="77777777" w:rsidR="00B57DBB" w:rsidRDefault="00171CCA">
      <w:pPr>
        <w:pStyle w:val="Nadpis1"/>
      </w:pPr>
      <w:bookmarkStart w:id="43" w:name="_Toc97634981"/>
      <w:r>
        <w:lastRenderedPageBreak/>
        <w:t>8 Kontroly používání OOPP</w:t>
      </w:r>
      <w:bookmarkEnd w:id="43"/>
    </w:p>
    <w:p w14:paraId="730C3D91" w14:textId="77777777" w:rsidR="0099485D" w:rsidRPr="0099485D" w:rsidRDefault="00171CCA">
      <w:pPr>
        <w:numPr>
          <w:ilvl w:val="0"/>
          <w:numId w:val="35"/>
        </w:numPr>
        <w:rPr>
          <w:b/>
          <w:bCs/>
          <w:color w:val="C00000"/>
        </w:rPr>
      </w:pPr>
      <w:r w:rsidRPr="0099485D">
        <w:rPr>
          <w:b/>
          <w:bCs/>
          <w:color w:val="C00000"/>
        </w:rPr>
        <w:t xml:space="preserve">Zaměstnanci musejí </w:t>
      </w:r>
      <w:r w:rsidR="0099485D" w:rsidRPr="0099485D">
        <w:rPr>
          <w:b/>
          <w:bCs/>
          <w:color w:val="C00000"/>
        </w:rPr>
        <w:t>při práci, za podmínek stanovených tímto dokumentem, používat OOPP</w:t>
      </w:r>
      <w:r w:rsidRPr="0099485D">
        <w:rPr>
          <w:b/>
          <w:bCs/>
          <w:color w:val="C00000"/>
        </w:rPr>
        <w:t xml:space="preserve">. </w:t>
      </w:r>
    </w:p>
    <w:p w14:paraId="27AEAFAE" w14:textId="0B718800" w:rsidR="00B57DBB" w:rsidRPr="0099485D" w:rsidRDefault="00171CCA">
      <w:pPr>
        <w:numPr>
          <w:ilvl w:val="0"/>
          <w:numId w:val="35"/>
        </w:numPr>
        <w:rPr>
          <w:b/>
          <w:bCs/>
          <w:color w:val="C00000"/>
        </w:rPr>
      </w:pPr>
      <w:r w:rsidRPr="0099485D">
        <w:rPr>
          <w:b/>
          <w:bCs/>
          <w:color w:val="C00000"/>
        </w:rPr>
        <w:t xml:space="preserve">Vedoucí zaměstnanci jsou povinni, řádné používání OOPP </w:t>
      </w:r>
      <w:r w:rsidR="0099485D" w:rsidRPr="0099485D">
        <w:rPr>
          <w:b/>
          <w:bCs/>
          <w:color w:val="C00000"/>
        </w:rPr>
        <w:t xml:space="preserve">zaměstnanci </w:t>
      </w:r>
      <w:r w:rsidRPr="0099485D">
        <w:rPr>
          <w:b/>
          <w:bCs/>
          <w:color w:val="C00000"/>
        </w:rPr>
        <w:t xml:space="preserve">soustavně </w:t>
      </w:r>
      <w:r w:rsidR="0099485D" w:rsidRPr="0099485D">
        <w:rPr>
          <w:b/>
          <w:bCs/>
          <w:color w:val="C00000"/>
        </w:rPr>
        <w:t xml:space="preserve">vyžadovat a </w:t>
      </w:r>
      <w:r w:rsidRPr="0099485D">
        <w:rPr>
          <w:b/>
          <w:bCs/>
          <w:color w:val="C00000"/>
        </w:rPr>
        <w:t>kontrolovat.</w:t>
      </w:r>
    </w:p>
    <w:p w14:paraId="6D43A1C0" w14:textId="77777777" w:rsidR="0099485D" w:rsidRDefault="00171CCA">
      <w:pPr>
        <w:numPr>
          <w:ilvl w:val="0"/>
          <w:numId w:val="35"/>
        </w:numPr>
      </w:pPr>
      <w:r>
        <w:t>Vedoucí zaměstnanci pořizují záznamy o kontrolách používání OOPP</w:t>
      </w:r>
      <w:r w:rsidR="0099485D">
        <w:t>,</w:t>
      </w:r>
      <w:r>
        <w:t xml:space="preserve"> a to jak </w:t>
      </w:r>
    </w:p>
    <w:p w14:paraId="01D1F091" w14:textId="77777777" w:rsidR="0099485D" w:rsidRDefault="00171CCA" w:rsidP="0099485D">
      <w:pPr>
        <w:numPr>
          <w:ilvl w:val="1"/>
          <w:numId w:val="35"/>
        </w:numPr>
      </w:pPr>
      <w:r>
        <w:t xml:space="preserve">kontrolách s pozitivním výsledkem (bez zjištěných závad a nedostatků), tak i </w:t>
      </w:r>
    </w:p>
    <w:p w14:paraId="0E83B4A1" w14:textId="77777777" w:rsidR="0099485D" w:rsidRDefault="00171CCA" w:rsidP="0099485D">
      <w:pPr>
        <w:numPr>
          <w:ilvl w:val="1"/>
          <w:numId w:val="35"/>
        </w:numPr>
      </w:pPr>
      <w:r>
        <w:t xml:space="preserve">kontrolách, při nichž závady a nedostatky zjištěny byly. </w:t>
      </w:r>
    </w:p>
    <w:p w14:paraId="73965D95" w14:textId="6098A11B" w:rsidR="00B57DBB" w:rsidRDefault="00171CCA" w:rsidP="0099485D">
      <w:pPr>
        <w:numPr>
          <w:ilvl w:val="0"/>
          <w:numId w:val="35"/>
        </w:numPr>
      </w:pPr>
      <w:r>
        <w:t xml:space="preserve">K záznamu se použije </w:t>
      </w:r>
      <w:r w:rsidR="00100EBC">
        <w:t xml:space="preserve">zejména </w:t>
      </w:r>
      <w:r>
        <w:t>formulář</w:t>
      </w:r>
      <w:r w:rsidR="00100EBC">
        <w:t>, který je součástí přílohy D k tomuto dokumentu.</w:t>
      </w:r>
    </w:p>
    <w:p w14:paraId="22961404" w14:textId="77777777" w:rsidR="007431F2" w:rsidRDefault="00171CCA">
      <w:pPr>
        <w:numPr>
          <w:ilvl w:val="0"/>
          <w:numId w:val="35"/>
        </w:numPr>
      </w:pPr>
      <w:r>
        <w:t xml:space="preserve">V případě, kdy vedoucí zaměstnanec zjistí pochybení v používání OOPP zaměstnanci, o tomto pořídí záznam, </w:t>
      </w:r>
      <w:proofErr w:type="gramStart"/>
      <w:r>
        <w:t>poučí</w:t>
      </w:r>
      <w:proofErr w:type="gramEnd"/>
      <w:r>
        <w:t xml:space="preserve"> zaměstnance a bez zbytečného odkladu zjedná nápravu. Nelze tolerovat nepoužívání stanovených OOPP</w:t>
      </w:r>
      <w:r w:rsidR="007431F2">
        <w:t xml:space="preserve"> nebo jejich chybné používání (např. v rozporu s návodem výrobce)</w:t>
      </w:r>
      <w:r>
        <w:t xml:space="preserve">. </w:t>
      </w:r>
    </w:p>
    <w:p w14:paraId="6A90FFE2" w14:textId="0DB38A33" w:rsidR="00B57DBB" w:rsidRPr="007431F2" w:rsidRDefault="00171CCA" w:rsidP="007431F2">
      <w:pPr>
        <w:ind w:left="720"/>
        <w:rPr>
          <w:b/>
          <w:bCs/>
          <w:color w:val="C00000"/>
        </w:rPr>
      </w:pPr>
      <w:r w:rsidRPr="007431F2">
        <w:rPr>
          <w:b/>
          <w:bCs/>
          <w:color w:val="C00000"/>
        </w:rPr>
        <w:t>Z</w:t>
      </w:r>
      <w:r w:rsidR="007431F2" w:rsidRPr="007431F2">
        <w:rPr>
          <w:b/>
          <w:bCs/>
          <w:color w:val="C00000"/>
        </w:rPr>
        <w:t xml:space="preserve"> opakovaného porušování povinností </w:t>
      </w:r>
      <w:r w:rsidR="007431F2">
        <w:rPr>
          <w:b/>
          <w:bCs/>
          <w:color w:val="C00000"/>
        </w:rPr>
        <w:t xml:space="preserve">zaměstnanců v oblasti používání OOPP </w:t>
      </w:r>
      <w:r w:rsidRPr="007431F2">
        <w:rPr>
          <w:b/>
          <w:bCs/>
          <w:color w:val="C00000"/>
        </w:rPr>
        <w:t>je nutno vyvozovat důsledky</w:t>
      </w:r>
      <w:r w:rsidR="007431F2" w:rsidRPr="007431F2">
        <w:rPr>
          <w:b/>
          <w:bCs/>
          <w:color w:val="C00000"/>
        </w:rPr>
        <w:t>,</w:t>
      </w:r>
      <w:r w:rsidRPr="007431F2">
        <w:rPr>
          <w:b/>
          <w:bCs/>
          <w:color w:val="C00000"/>
        </w:rPr>
        <w:t xml:space="preserve"> a to zpravidla v následujícím pořadí:</w:t>
      </w:r>
    </w:p>
    <w:p w14:paraId="57B56A86" w14:textId="77777777" w:rsidR="00B57DBB" w:rsidRDefault="00171CCA">
      <w:pPr>
        <w:numPr>
          <w:ilvl w:val="1"/>
          <w:numId w:val="35"/>
        </w:numPr>
      </w:pPr>
      <w:r w:rsidRPr="007431F2">
        <w:rPr>
          <w:b/>
          <w:bCs/>
        </w:rPr>
        <w:t>první porušení</w:t>
      </w:r>
      <w:r>
        <w:t>: ústní pokárání zaměstnance;</w:t>
      </w:r>
    </w:p>
    <w:p w14:paraId="65C48652" w14:textId="77777777" w:rsidR="00B57DBB" w:rsidRDefault="00171CCA">
      <w:pPr>
        <w:numPr>
          <w:ilvl w:val="1"/>
          <w:numId w:val="35"/>
        </w:numPr>
      </w:pPr>
      <w:r w:rsidRPr="007431F2">
        <w:rPr>
          <w:b/>
          <w:bCs/>
        </w:rPr>
        <w:t>druhé porušení</w:t>
      </w:r>
      <w:r>
        <w:t>: odepření pohyblivé složky mzdy v částečné nebo plné výši;</w:t>
      </w:r>
    </w:p>
    <w:p w14:paraId="3F61EA5B" w14:textId="77777777" w:rsidR="00B57DBB" w:rsidRDefault="00171CCA">
      <w:pPr>
        <w:numPr>
          <w:ilvl w:val="1"/>
          <w:numId w:val="35"/>
        </w:numPr>
      </w:pPr>
      <w:r w:rsidRPr="007431F2">
        <w:rPr>
          <w:b/>
          <w:bCs/>
        </w:rPr>
        <w:t>třetí porušení</w:t>
      </w:r>
      <w:r>
        <w:t>: odepření pohyblivé složky mzdy v plné výši a upozornění na možnost rozvázání pracovního poměru;</w:t>
      </w:r>
    </w:p>
    <w:p w14:paraId="2A68747C" w14:textId="109004F1" w:rsidR="00B57DBB" w:rsidRDefault="00171CCA">
      <w:pPr>
        <w:numPr>
          <w:ilvl w:val="1"/>
          <w:numId w:val="35"/>
        </w:numPr>
      </w:pPr>
      <w:r w:rsidRPr="007431F2">
        <w:rPr>
          <w:b/>
          <w:bCs/>
        </w:rPr>
        <w:t>čtvrté porušení</w:t>
      </w:r>
      <w:r>
        <w:t>: rozvázání pracovního poměru</w:t>
      </w:r>
      <w:r w:rsidR="007431F2">
        <w:t xml:space="preserve"> (za podmínek stanovených Zákoníkem práce)</w:t>
      </w:r>
      <w:r>
        <w:t>.</w:t>
      </w:r>
    </w:p>
    <w:p w14:paraId="04498135" w14:textId="0B2A4B78" w:rsidR="00B57DBB" w:rsidRDefault="00171CCA">
      <w:pPr>
        <w:numPr>
          <w:ilvl w:val="0"/>
          <w:numId w:val="35"/>
        </w:numPr>
      </w:pPr>
      <w:r>
        <w:t>V odst. (</w:t>
      </w:r>
      <w:r w:rsidR="007431F2">
        <w:t>5</w:t>
      </w:r>
      <w:r>
        <w:t>) uvedené důsledky jsou orientační, vztaženy na tříměsíční rozhodné obodbí a vždy záleží na uvážení konkrétního vedoucího zaměstnance a zejména, na míře rizika, kterému se zaměstnanec nepoužitím OOPP vystavil.</w:t>
      </w:r>
    </w:p>
    <w:p w14:paraId="12EE7EA9" w14:textId="72B11643" w:rsidR="00B57DBB" w:rsidRDefault="00171CCA">
      <w:pPr>
        <w:numPr>
          <w:ilvl w:val="0"/>
          <w:numId w:val="35"/>
        </w:numPr>
      </w:pPr>
      <w:r>
        <w:t>Kontrolu používání OOPP může provést a záznam o ní pořídit, kdykoliv</w:t>
      </w:r>
      <w:r w:rsidR="007431F2">
        <w:t>,</w:t>
      </w:r>
      <w:r>
        <w:t xml:space="preserve"> kterýkoliv vedoucí zaměstnanec </w:t>
      </w:r>
      <w:proofErr w:type="gramStart"/>
      <w:r>
        <w:t>společnosti</w:t>
      </w:r>
      <w:proofErr w:type="gramEnd"/>
      <w:r>
        <w:t xml:space="preserve"> a to od nejnižšího stupně řízení (např. předák) až po nejvyšší stupeň řízení (ředitel společnosti) a dále také OZO BOZP a TPO</w:t>
      </w:r>
      <w:r w:rsidR="007431F2">
        <w:t xml:space="preserve"> a to v rámci všech zaměstnanců společnosti</w:t>
      </w:r>
      <w:r>
        <w:t xml:space="preserve">. </w:t>
      </w:r>
    </w:p>
    <w:p w14:paraId="627DD9E8" w14:textId="77777777" w:rsidR="00B57DBB" w:rsidRDefault="00171CCA">
      <w:pPr>
        <w:rPr>
          <w:sz w:val="20"/>
          <w:szCs w:val="20"/>
        </w:rPr>
      </w:pPr>
      <w:r>
        <w:br w:type="page"/>
      </w:r>
    </w:p>
    <w:p w14:paraId="111D822F" w14:textId="77777777" w:rsidR="00B57DBB" w:rsidRDefault="00171CCA">
      <w:pPr>
        <w:pStyle w:val="Nadpis1"/>
      </w:pPr>
      <w:bookmarkStart w:id="44" w:name="_Toc97634982"/>
      <w:r>
        <w:lastRenderedPageBreak/>
        <w:t>9 Poskytování mycích, čistících a dezinfekčních prostředků</w:t>
      </w:r>
      <w:bookmarkEnd w:id="44"/>
    </w:p>
    <w:p w14:paraId="4A5EB2E8" w14:textId="34C73527" w:rsidR="00DA3E3C" w:rsidRPr="00B461E0" w:rsidRDefault="00B461E0" w:rsidP="00B461E0">
      <w:pPr>
        <w:numPr>
          <w:ilvl w:val="0"/>
          <w:numId w:val="3"/>
        </w:numPr>
      </w:pPr>
      <w:r w:rsidRPr="00B461E0">
        <w:t>K předcházení vzniku a šíření infekčních onemocnění poskytne zaměstnavatel zaměstnanci dezinfekční prostředky. Za dezinfekční prostředek se považuje též ochranná mast s dezinfekčním účinkem.</w:t>
      </w:r>
    </w:p>
    <w:p w14:paraId="19766245" w14:textId="2E023F5B" w:rsidR="00DA3E3C" w:rsidRDefault="00DA3E3C" w:rsidP="00DA3E3C">
      <w:pPr>
        <w:pStyle w:val="Odstavecseseznamem"/>
        <w:numPr>
          <w:ilvl w:val="0"/>
          <w:numId w:val="3"/>
        </w:numPr>
      </w:pPr>
      <w:r w:rsidRPr="00DA3E3C">
        <w:t>Zaměstnanci, který přichází do styku s látkami, jež mohou způsobit podráždění pokožky nebo znečištění zaměstnance, poskytne zaměstnavatel podle druhu látky mycí a čisticí prostředky, případně regenerační krémy a masti.</w:t>
      </w:r>
    </w:p>
    <w:p w14:paraId="27454E11" w14:textId="05760D68" w:rsidR="00DA3E3C" w:rsidRDefault="00DA3E3C" w:rsidP="00DA3E3C">
      <w:pPr>
        <w:pStyle w:val="Odstavecseseznamem"/>
        <w:numPr>
          <w:ilvl w:val="0"/>
          <w:numId w:val="3"/>
        </w:numPr>
      </w:pPr>
      <w:r>
        <w:t>Mycí a čistící prostředky mohou být zaměstnancům trvale k dispozici v sanitárních zařízeních.</w:t>
      </w:r>
    </w:p>
    <w:p w14:paraId="1CED0E66" w14:textId="1DDDB41F" w:rsidR="00DA3E3C" w:rsidRDefault="00DA3E3C" w:rsidP="00DA3E3C">
      <w:pPr>
        <w:pStyle w:val="Odstavecseseznamem"/>
        <w:numPr>
          <w:ilvl w:val="0"/>
          <w:numId w:val="3"/>
        </w:numPr>
      </w:pPr>
      <w:r>
        <w:t>Zaměstnanci, kteří vykonávají práce nečisté a velmi nečisté</w:t>
      </w:r>
      <w:r w:rsidR="00B461E0">
        <w:t xml:space="preserve">, </w:t>
      </w:r>
      <w:proofErr w:type="gramStart"/>
      <w:r w:rsidR="00B461E0">
        <w:t>obdrží</w:t>
      </w:r>
      <w:proofErr w:type="gramEnd"/>
      <w:r w:rsidR="00B461E0">
        <w:t xml:space="preserve"> nejméně 2 ks textilních ručníků za rok.</w:t>
      </w:r>
      <w:r w:rsidR="00CE5B10">
        <w:t xml:space="preserve"> Pro ostatní zaměstnance se za dostatečné považují např. papírové ručníky v sanitárních zařízeních nebo např. bezdotykové vysoušeče rukou.</w:t>
      </w:r>
    </w:p>
    <w:p w14:paraId="1B944B90" w14:textId="38A4E790" w:rsidR="00B461E0" w:rsidRPr="00DA3E3C" w:rsidRDefault="00B461E0" w:rsidP="00DA3E3C">
      <w:pPr>
        <w:pStyle w:val="Odstavecseseznamem"/>
        <w:numPr>
          <w:ilvl w:val="0"/>
          <w:numId w:val="3"/>
        </w:numPr>
      </w:pPr>
      <w:r>
        <w:t>Mycí a čistící prostředky, případně regenerační krémy a masti, poskytuje zaměstnavatel dle zvláštního právníh</w:t>
      </w:r>
      <w:r w:rsidRPr="00B461E0">
        <w:t>o předpisu</w:t>
      </w:r>
      <w:r>
        <w:rPr>
          <w:rStyle w:val="Znakapoznpodarou"/>
        </w:rPr>
        <w:footnoteReference w:id="12"/>
      </w:r>
      <w:r w:rsidRPr="00B461E0">
        <w:t>. Upřesnění množství mycích a čisticích prostředků pro jednotlivá pracoviště provede zaměstnavatel podle vyhodnocení rizik.</w:t>
      </w:r>
    </w:p>
    <w:p w14:paraId="6BA25552" w14:textId="77777777" w:rsidR="00B57DBB" w:rsidRDefault="00171CCA">
      <w:pPr>
        <w:pStyle w:val="Nadpis1"/>
      </w:pPr>
      <w:bookmarkStart w:id="45" w:name="_Toc97634983"/>
      <w:r>
        <w:t>10 Poskytování ochranných nápojů</w:t>
      </w:r>
      <w:bookmarkEnd w:id="45"/>
    </w:p>
    <w:p w14:paraId="4DB00C7F" w14:textId="77777777" w:rsidR="00B57DBB" w:rsidRDefault="00171CCA">
      <w:pPr>
        <w:numPr>
          <w:ilvl w:val="0"/>
          <w:numId w:val="13"/>
        </w:numPr>
      </w:pPr>
      <w:r>
        <w:t>Společnost, jakožto jedno z opatření proti působení zvýšené teploty nebo chladu na pracovišti, poskytuje zaměstnancům ochranné nápoje.</w:t>
      </w:r>
    </w:p>
    <w:p w14:paraId="75DC3894" w14:textId="77777777" w:rsidR="00B57DBB" w:rsidRDefault="00171CCA">
      <w:pPr>
        <w:pStyle w:val="Nadpis2"/>
      </w:pPr>
      <w:bookmarkStart w:id="46" w:name="_Toc97634984"/>
      <w:r>
        <w:t>10.1 Ochranné nápoje poskytované proti zátěži teplem</w:t>
      </w:r>
      <w:bookmarkEnd w:id="46"/>
    </w:p>
    <w:p w14:paraId="1C737ACE" w14:textId="6788B98A" w:rsidR="00B57DBB" w:rsidRDefault="00171CCA">
      <w:pPr>
        <w:numPr>
          <w:ilvl w:val="0"/>
          <w:numId w:val="32"/>
        </w:numPr>
      </w:pPr>
      <w:r>
        <w:t>Ochranné nápoje poskytované proti zátěži teplem se poskytují v souladu s nařízením vlády</w:t>
      </w:r>
      <w:r w:rsidR="00CE5B10">
        <w:t> </w:t>
      </w:r>
      <w:r>
        <w:t>č.</w:t>
      </w:r>
      <w:r w:rsidR="00CE5B10">
        <w:t> </w:t>
      </w:r>
      <w:r>
        <w:t>361/2007 Sb., kterým se stanoví podmínky ochrany zdraví při práci, úz.</w:t>
      </w:r>
    </w:p>
    <w:p w14:paraId="153B0030" w14:textId="77777777" w:rsidR="00B57DBB" w:rsidRDefault="00171CCA">
      <w:pPr>
        <w:numPr>
          <w:ilvl w:val="0"/>
          <w:numId w:val="32"/>
        </w:numPr>
      </w:pPr>
      <w:r>
        <w:t>Za ochranný nápoj ve smyslu výše uvedeného právního předpisu se považuje i kohoutková voda, kterou má každý zaměstnanec trvale k dispozici.</w:t>
      </w:r>
    </w:p>
    <w:p w14:paraId="1382F2A1" w14:textId="77777777" w:rsidR="00B57DBB" w:rsidRDefault="00171CCA">
      <w:pPr>
        <w:pStyle w:val="Nadpis2"/>
      </w:pPr>
      <w:bookmarkStart w:id="47" w:name="_Toc97634985"/>
      <w:r>
        <w:t>10.2 Ochranné nápoje poskytované proti zátěži chladem</w:t>
      </w:r>
      <w:bookmarkEnd w:id="47"/>
    </w:p>
    <w:p w14:paraId="21A2BF04" w14:textId="77777777" w:rsidR="00B57DBB" w:rsidRDefault="00171CCA">
      <w:pPr>
        <w:numPr>
          <w:ilvl w:val="0"/>
          <w:numId w:val="28"/>
        </w:numPr>
      </w:pPr>
      <w:r>
        <w:t>Ochranný nápoj chránící před zátěží chladem se poskytuje:</w:t>
      </w:r>
    </w:p>
    <w:p w14:paraId="7B86BC97" w14:textId="77777777" w:rsidR="00B57DBB" w:rsidRDefault="00171CCA">
      <w:pPr>
        <w:numPr>
          <w:ilvl w:val="1"/>
          <w:numId w:val="28"/>
        </w:numPr>
      </w:pPr>
      <w:r>
        <w:t xml:space="preserve">při práci na nevenkovním pracovišti, na němž musí být udržována operativní nebo výsledná teplota jako technologický požadavek nižší než </w:t>
      </w:r>
      <w:proofErr w:type="gramStart"/>
      <w:r>
        <w:t>4°C</w:t>
      </w:r>
      <w:proofErr w:type="gramEnd"/>
      <w:r>
        <w:t>,</w:t>
      </w:r>
    </w:p>
    <w:p w14:paraId="7AFDD946" w14:textId="77777777" w:rsidR="00B57DBB" w:rsidRDefault="00171CCA">
      <w:pPr>
        <w:numPr>
          <w:ilvl w:val="1"/>
          <w:numId w:val="28"/>
        </w:numPr>
      </w:pPr>
      <w:r>
        <w:t xml:space="preserve">při práci na venkovním pracovišti, na němž je korigovaná teplota vzduchu nižší než </w:t>
      </w:r>
      <w:proofErr w:type="gramStart"/>
      <w:r>
        <w:t>4°C</w:t>
      </w:r>
      <w:proofErr w:type="gramEnd"/>
      <w:r>
        <w:t xml:space="preserve">.Jedná se zejména o pracoviště na otevřených a polootevřených pracovištích. </w:t>
      </w:r>
    </w:p>
    <w:p w14:paraId="77854C56" w14:textId="77777777" w:rsidR="00B57DBB" w:rsidRDefault="00171CCA">
      <w:pPr>
        <w:numPr>
          <w:ilvl w:val="0"/>
          <w:numId w:val="28"/>
        </w:numPr>
      </w:pPr>
      <w:r>
        <w:t>Jako ochranný nápoj před zátěží chladem společnost zaměstnancům na pozicích manipulantů poskytne 2 sáčky k přípravě teplého čaje v množství minimálně 0,5 litru na osobu a směnu.</w:t>
      </w:r>
    </w:p>
    <w:p w14:paraId="4FCE6D76" w14:textId="77777777" w:rsidR="00B57DBB" w:rsidRDefault="00171CCA">
      <w:pPr>
        <w:numPr>
          <w:ilvl w:val="0"/>
          <w:numId w:val="28"/>
        </w:numPr>
      </w:pPr>
      <w:r>
        <w:t>Všichni zaměstnanci společnosti mají možnost, si v kuchyňkách nebo denních místnostech společnosti, připravit teplý nápoj.</w:t>
      </w:r>
    </w:p>
    <w:p w14:paraId="3D4A2933" w14:textId="77777777" w:rsidR="00B57DBB" w:rsidRDefault="00B57DBB"/>
    <w:p w14:paraId="611B617E" w14:textId="77777777" w:rsidR="00B57DBB" w:rsidRDefault="00171CCA">
      <w:r>
        <w:br w:type="page"/>
      </w:r>
    </w:p>
    <w:p w14:paraId="7278020D" w14:textId="77777777" w:rsidR="00B57DBB" w:rsidRDefault="00171CCA">
      <w:pPr>
        <w:pStyle w:val="Nadpis1"/>
      </w:pPr>
      <w:bookmarkStart w:id="48" w:name="_Toc97634986"/>
      <w:r>
        <w:lastRenderedPageBreak/>
        <w:t>11 Závěrečná ustanovení</w:t>
      </w:r>
      <w:bookmarkEnd w:id="48"/>
    </w:p>
    <w:p w14:paraId="00F3A06B" w14:textId="77777777" w:rsidR="00B57DBB" w:rsidRDefault="00171CCA">
      <w:pPr>
        <w:numPr>
          <w:ilvl w:val="0"/>
          <w:numId w:val="25"/>
        </w:numPr>
      </w:pPr>
      <w:r>
        <w:t>Tento dokument nabývá platnosti a účinnosti dnem schválení a vydání.</w:t>
      </w:r>
    </w:p>
    <w:p w14:paraId="1D5DC75F" w14:textId="77777777" w:rsidR="00B57DBB" w:rsidRDefault="00171CCA">
      <w:pPr>
        <w:pStyle w:val="Nadpis2"/>
      </w:pPr>
      <w:bookmarkStart w:id="49" w:name="_Toc97634987"/>
      <w:r>
        <w:t>11.1 Vedení dokumentu / rozdělovník</w:t>
      </w:r>
      <w:bookmarkEnd w:id="49"/>
    </w:p>
    <w:p w14:paraId="31B63838" w14:textId="77777777" w:rsidR="00B57DBB" w:rsidRDefault="00171CCA">
      <w:pPr>
        <w:numPr>
          <w:ilvl w:val="0"/>
          <w:numId w:val="14"/>
        </w:numPr>
      </w:pPr>
      <w:r>
        <w:t>Originál dokumentu bude uložen v kanceláři vedení společnosti.</w:t>
      </w:r>
    </w:p>
    <w:p w14:paraId="36977DDF" w14:textId="77777777" w:rsidR="00B57DBB" w:rsidRDefault="00171CCA">
      <w:pPr>
        <w:numPr>
          <w:ilvl w:val="0"/>
          <w:numId w:val="14"/>
        </w:numPr>
      </w:pPr>
      <w:r>
        <w:t>Elektronická verze tohoto dokumentu (formát PDF) je k dispozici ve sdílené složce interní sítě.</w:t>
      </w:r>
    </w:p>
    <w:p w14:paraId="6CC494B6" w14:textId="77777777" w:rsidR="00B57DBB" w:rsidRDefault="00171CCA">
      <w:pPr>
        <w:numPr>
          <w:ilvl w:val="0"/>
          <w:numId w:val="14"/>
        </w:numPr>
      </w:pPr>
      <w:r>
        <w:t>Tento dokument a každá jeho aktualizace musí dána na vědomí všem osobám uvedeným v kapitole 1.2.</w:t>
      </w:r>
    </w:p>
    <w:p w14:paraId="4C89F138" w14:textId="77777777" w:rsidR="00B57DBB" w:rsidRDefault="00171CCA">
      <w:pPr>
        <w:pStyle w:val="Nadpis2"/>
      </w:pPr>
      <w:bookmarkStart w:id="50" w:name="_Toc97634988"/>
      <w:r>
        <w:t>11.2 Zrušovací ustanovení</w:t>
      </w:r>
      <w:bookmarkEnd w:id="50"/>
    </w:p>
    <w:p w14:paraId="62F7C8C9" w14:textId="77777777" w:rsidR="00B57DBB" w:rsidRDefault="00171CCA">
      <w:pPr>
        <w:numPr>
          <w:ilvl w:val="0"/>
          <w:numId w:val="1"/>
        </w:numPr>
      </w:pPr>
      <w:r>
        <w:t xml:space="preserve">Tímto dokumentem se </w:t>
      </w:r>
      <w:proofErr w:type="gramStart"/>
      <w:r>
        <w:t>neruší</w:t>
      </w:r>
      <w:proofErr w:type="gramEnd"/>
      <w:r>
        <w:t xml:space="preserve"> žádná interní dokumentace společnosti.</w:t>
      </w:r>
    </w:p>
    <w:p w14:paraId="56DE9FE2" w14:textId="77777777" w:rsidR="00B57DBB" w:rsidRDefault="00171CCA">
      <w:pPr>
        <w:pStyle w:val="Nadpis2"/>
      </w:pPr>
      <w:bookmarkStart w:id="51" w:name="_Toc97634989"/>
      <w:r>
        <w:t>11.3 Změnová služba</w:t>
      </w:r>
      <w:bookmarkEnd w:id="51"/>
    </w:p>
    <w:p w14:paraId="35A88B47" w14:textId="77777777" w:rsidR="00B57DBB" w:rsidRDefault="00171CCA">
      <w:pPr>
        <w:numPr>
          <w:ilvl w:val="0"/>
          <w:numId w:val="15"/>
        </w:numPr>
      </w:pPr>
      <w:r>
        <w:t>Změny a revize tohoto dokumentu zajišťuje OZO BOZP.</w:t>
      </w:r>
    </w:p>
    <w:p w14:paraId="1DF3E508" w14:textId="77777777" w:rsidR="00B57DBB" w:rsidRDefault="00171CCA">
      <w:pPr>
        <w:pStyle w:val="Nadpis2"/>
      </w:pPr>
      <w:bookmarkStart w:id="52" w:name="_Toc97634990"/>
      <w:r>
        <w:t>11.4 Změnové hlášení</w:t>
      </w:r>
      <w:bookmarkEnd w:id="52"/>
    </w:p>
    <w:p w14:paraId="30A62D43" w14:textId="77777777" w:rsidR="00B57DBB" w:rsidRDefault="00171CCA">
      <w:pPr>
        <w:numPr>
          <w:ilvl w:val="0"/>
          <w:numId w:val="8"/>
        </w:numPr>
      </w:pPr>
      <w:r>
        <w:t>Toto je první verze dokumentu.</w:t>
      </w:r>
    </w:p>
    <w:p w14:paraId="72233682" w14:textId="77777777" w:rsidR="00B57DBB" w:rsidRDefault="00171CCA">
      <w:pPr>
        <w:pStyle w:val="Nadpis1"/>
        <w:rPr>
          <w:rFonts w:ascii="Oswald" w:eastAsia="Oswald" w:hAnsi="Oswald" w:cs="Oswald"/>
        </w:rPr>
      </w:pPr>
      <w:bookmarkStart w:id="53" w:name="_Toc97634991"/>
      <w:r>
        <w:rPr>
          <w:rFonts w:ascii="Oswald" w:eastAsia="Oswald" w:hAnsi="Oswald" w:cs="Oswald"/>
        </w:rPr>
        <w:t>13 Přílohy k dokumentu</w:t>
      </w:r>
      <w:bookmarkEnd w:id="53"/>
    </w:p>
    <w:p w14:paraId="4BEF0AE4" w14:textId="77777777" w:rsidR="00B57DBB" w:rsidRDefault="00171CCA">
      <w:pPr>
        <w:rPr>
          <w:color w:val="C00000"/>
        </w:rPr>
      </w:pPr>
      <w:r>
        <w:rPr>
          <w:b/>
          <w:color w:val="C00000"/>
        </w:rPr>
        <w:t>Přílohy jsou samostatnými dokumenty, které se při tisku přikládají k tomuto dokumentu.</w:t>
      </w:r>
    </w:p>
    <w:p w14:paraId="739D227D" w14:textId="77777777" w:rsidR="009F1179" w:rsidRPr="009F1179" w:rsidRDefault="001432A8" w:rsidP="009F1179">
      <w:pPr>
        <w:pStyle w:val="Nadpis5"/>
        <w:jc w:val="left"/>
      </w:pPr>
      <w:r w:rsidRPr="009F1179">
        <w:t xml:space="preserve">Příloha A: </w:t>
      </w:r>
      <w:r w:rsidR="009F1179" w:rsidRPr="009F1179">
        <w:t>Tabulka pro výběr osobních ochranných pracovních prostředků na základě vyhodnocení rizik</w:t>
      </w:r>
    </w:p>
    <w:p w14:paraId="2C81BBCC" w14:textId="6CE34F3A" w:rsidR="00B57DBB" w:rsidRDefault="00171CCA">
      <w:pPr>
        <w:pStyle w:val="Nadpis5"/>
        <w:jc w:val="left"/>
      </w:pPr>
      <w:r>
        <w:t xml:space="preserve">Příloha </w:t>
      </w:r>
      <w:r w:rsidR="001432A8">
        <w:t>B</w:t>
      </w:r>
      <w:r>
        <w:t>: Karty OOPP pracovní činnosti / profese</w:t>
      </w:r>
    </w:p>
    <w:p w14:paraId="080E5B54" w14:textId="4559BE57" w:rsidR="00B57DBB" w:rsidRDefault="00171CCA">
      <w:pPr>
        <w:pStyle w:val="Nadpis5"/>
        <w:jc w:val="left"/>
      </w:pPr>
      <w:r>
        <w:t xml:space="preserve">Příloha </w:t>
      </w:r>
      <w:r w:rsidR="001432A8">
        <w:t>C</w:t>
      </w:r>
      <w:r>
        <w:t>: Evidenční list pro poskytnutí OOPP</w:t>
      </w:r>
    </w:p>
    <w:p w14:paraId="1EE7EF4B" w14:textId="2F866F27" w:rsidR="003F60FB" w:rsidRPr="003F60FB" w:rsidRDefault="003F60FB" w:rsidP="003F60FB">
      <w:pPr>
        <w:pStyle w:val="Nadpis5"/>
        <w:jc w:val="left"/>
      </w:pPr>
      <w:r>
        <w:t>Příloha D: Vzor dokladu o kontrole používání OOPP zaměstnanci</w:t>
      </w:r>
    </w:p>
    <w:p w14:paraId="29D24D4E" w14:textId="77777777" w:rsidR="00B57DBB" w:rsidRDefault="00B57DBB"/>
    <w:sectPr w:rsidR="00B57DBB">
      <w:headerReference w:type="default" r:id="rId22"/>
      <w:footerReference w:type="default" r:id="rId23"/>
      <w:headerReference w:type="first" r:id="rId24"/>
      <w:footerReference w:type="first" r:id="rId25"/>
      <w:pgSz w:w="11909" w:h="16834"/>
      <w:pgMar w:top="1440" w:right="1440" w:bottom="1440" w:left="1440" w:header="720" w:footer="720" w:gutter="0"/>
      <w:pgNumType w:start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ít Hofman" w:date="2022-03-08T08:41:00Z" w:initials="VH">
    <w:p w14:paraId="42E0BD3F" w14:textId="77777777" w:rsidR="00791C15" w:rsidRDefault="00791C15" w:rsidP="003F5480">
      <w:pPr>
        <w:pStyle w:val="Textkomente"/>
        <w:jc w:val="left"/>
      </w:pPr>
      <w:r>
        <w:rPr>
          <w:rStyle w:val="Odkaznakoment"/>
        </w:rPr>
        <w:annotationRef/>
      </w:r>
      <w:r>
        <w:t>Upravit dle skutečnosti.</w:t>
      </w:r>
    </w:p>
  </w:comment>
  <w:comment w:id="1" w:author="Vít Hofman" w:date="2022-03-08T08:42:00Z" w:initials="VH">
    <w:p w14:paraId="67077982" w14:textId="77777777" w:rsidR="00791C15" w:rsidRDefault="00791C15" w:rsidP="00FB3A1E">
      <w:pPr>
        <w:pStyle w:val="Textkomente"/>
        <w:jc w:val="left"/>
      </w:pPr>
      <w:r>
        <w:rPr>
          <w:rStyle w:val="Odkaznakoment"/>
        </w:rPr>
        <w:annotationRef/>
      </w:r>
      <w:r>
        <w:t>Upravit dle skutečnosti.</w:t>
      </w:r>
    </w:p>
  </w:comment>
  <w:comment w:id="2" w:author="Vít Hofman" w:date="2022-03-08T08:42:00Z" w:initials="VH">
    <w:p w14:paraId="6A30D1DE" w14:textId="77777777" w:rsidR="00791C15" w:rsidRDefault="00791C15" w:rsidP="0016479C">
      <w:pPr>
        <w:pStyle w:val="Textkomente"/>
        <w:jc w:val="left"/>
      </w:pPr>
      <w:r>
        <w:rPr>
          <w:rStyle w:val="Odkaznakoment"/>
        </w:rPr>
        <w:annotationRef/>
      </w:r>
      <w:r>
        <w:t>Upravit dle skutečnosti.</w:t>
      </w:r>
    </w:p>
  </w:comment>
  <w:comment w:id="7" w:author="Vít Hofman" w:date="2022-03-08T08:41:00Z" w:initials="VH">
    <w:p w14:paraId="739DC2BF" w14:textId="6DF02795" w:rsidR="00791C15" w:rsidRDefault="00791C15" w:rsidP="004A7341">
      <w:pPr>
        <w:pStyle w:val="Textkomente"/>
        <w:jc w:val="left"/>
      </w:pPr>
      <w:r>
        <w:rPr>
          <w:rStyle w:val="Odkaznakoment"/>
        </w:rPr>
        <w:annotationRef/>
      </w:r>
      <w:r>
        <w:t>Nutno upravit tabulku dle skutečnosti.</w:t>
      </w:r>
    </w:p>
  </w:comment>
  <w:comment w:id="9" w:author="Vít Hofman" w:date="2022-03-08T08:43:00Z" w:initials="VH">
    <w:p w14:paraId="471B7BE7" w14:textId="77777777" w:rsidR="00791C15" w:rsidRDefault="00791C15" w:rsidP="0058044A">
      <w:pPr>
        <w:pStyle w:val="Textkomente"/>
        <w:jc w:val="left"/>
      </w:pPr>
      <w:r>
        <w:rPr>
          <w:rStyle w:val="Odkaznakoment"/>
        </w:rPr>
        <w:annotationRef/>
      </w:r>
      <w:r>
        <w:t>Smazat nepoužívané zkratky, zejména pozor na zkratky HR a OEŘ, popř. doplnit vlastní.</w:t>
      </w:r>
    </w:p>
  </w:comment>
  <w:comment w:id="10" w:author="Vít Hofman" w:date="2022-03-08T08:43:00Z" w:initials="VH">
    <w:p w14:paraId="55120181" w14:textId="77777777" w:rsidR="00791C15" w:rsidRDefault="00791C15" w:rsidP="00D250A1">
      <w:pPr>
        <w:pStyle w:val="Textkomente"/>
        <w:jc w:val="left"/>
      </w:pPr>
      <w:r>
        <w:rPr>
          <w:rStyle w:val="Odkaznakoment"/>
        </w:rPr>
        <w:annotationRef/>
      </w:r>
      <w:r>
        <w:t>Aktualizovat OZO BOZP / OZO PO a kontakty.</w:t>
      </w:r>
    </w:p>
  </w:comment>
  <w:comment w:id="14" w:author="Vít Hofman" w:date="2022-03-08T08:44:00Z" w:initials="VH">
    <w:p w14:paraId="65CE2602" w14:textId="77777777" w:rsidR="002F60C0" w:rsidRDefault="002F60C0" w:rsidP="00307548">
      <w:pPr>
        <w:pStyle w:val="Textkomente"/>
        <w:jc w:val="left"/>
      </w:pPr>
      <w:r>
        <w:rPr>
          <w:rStyle w:val="Odkaznakoment"/>
        </w:rPr>
        <w:annotationRef/>
      </w:r>
      <w:r>
        <w:t>Případně dopsat konkrétní OOPP kategorie 3, které jsou ve společnosti používány.</w:t>
      </w:r>
    </w:p>
  </w:comment>
  <w:comment w:id="16" w:author="Vít Hofman" w:date="2022-03-08T08:47:00Z" w:initials="VH">
    <w:p w14:paraId="241A2802" w14:textId="77777777" w:rsidR="002F60C0" w:rsidRDefault="002F60C0" w:rsidP="004C1E99">
      <w:pPr>
        <w:pStyle w:val="Textkomente"/>
        <w:jc w:val="left"/>
      </w:pPr>
      <w:r>
        <w:rPr>
          <w:rStyle w:val="Odkaznakoment"/>
        </w:rPr>
        <w:annotationRef/>
      </w:r>
      <w:r>
        <w:t>Popř. upravit - smazat nebo doplnit způsoby poskytování OOPP. Některé společnosti např. OOPP poskytují formou výdejových automatů.</w:t>
      </w:r>
    </w:p>
  </w:comment>
  <w:comment w:id="17" w:author="Vít Hofman" w:date="2022-03-08T10:45:00Z" w:initials="VH">
    <w:p w14:paraId="1F2CD5C9" w14:textId="77777777" w:rsidR="00177752" w:rsidRDefault="00177752" w:rsidP="00914B69">
      <w:pPr>
        <w:pStyle w:val="Textkomente"/>
        <w:jc w:val="left"/>
      </w:pPr>
      <w:r>
        <w:rPr>
          <w:rStyle w:val="Odkaznakoment"/>
        </w:rPr>
        <w:annotationRef/>
      </w:r>
      <w:r>
        <w:t>Případně upřesnit dle skutečnosti.</w:t>
      </w:r>
    </w:p>
  </w:comment>
  <w:comment w:id="18" w:author="Vít Hofman" w:date="2022-03-08T10:45:00Z" w:initials="VH">
    <w:p w14:paraId="3D6FB32B" w14:textId="77777777" w:rsidR="00177752" w:rsidRDefault="00177752" w:rsidP="004F6B48">
      <w:pPr>
        <w:pStyle w:val="Textkomente"/>
        <w:jc w:val="left"/>
      </w:pPr>
      <w:r>
        <w:rPr>
          <w:rStyle w:val="Odkaznakoment"/>
        </w:rPr>
        <w:annotationRef/>
      </w:r>
      <w:r>
        <w:t>Případně upřesnit dle potřeby.</w:t>
      </w:r>
    </w:p>
  </w:comment>
  <w:comment w:id="22" w:author="Vít Hofman" w:date="2022-03-08T08:41:00Z" w:initials="VH">
    <w:p w14:paraId="7D392745" w14:textId="01393AA3" w:rsidR="00791C15" w:rsidRDefault="00791C15" w:rsidP="008D383D">
      <w:pPr>
        <w:pStyle w:val="Textkomente"/>
        <w:jc w:val="left"/>
      </w:pPr>
      <w:r>
        <w:rPr>
          <w:rStyle w:val="Odkaznakoment"/>
        </w:rPr>
        <w:annotationRef/>
      </w:r>
      <w:r>
        <w:t>Nutno upravit.</w:t>
      </w:r>
    </w:p>
  </w:comment>
  <w:comment w:id="23" w:author="Vít Hofman" w:date="2022-03-08T08:41:00Z" w:initials="VH">
    <w:p w14:paraId="63AD2DFF" w14:textId="77777777" w:rsidR="00791C15" w:rsidRDefault="00791C15" w:rsidP="00450D70">
      <w:pPr>
        <w:pStyle w:val="Textkomente"/>
        <w:jc w:val="left"/>
      </w:pPr>
      <w:r>
        <w:rPr>
          <w:rStyle w:val="Odkaznakoment"/>
        </w:rPr>
        <w:annotationRef/>
      </w:r>
      <w:r>
        <w:t>Nutno upravit.</w:t>
      </w:r>
    </w:p>
  </w:comment>
  <w:comment w:id="27" w:author="Vít Hofman" w:date="2022-03-08T08:57:00Z" w:initials="VH">
    <w:p w14:paraId="50662CCA" w14:textId="77777777" w:rsidR="00515186" w:rsidRDefault="00515186">
      <w:pPr>
        <w:pStyle w:val="Textkomente"/>
        <w:jc w:val="left"/>
      </w:pPr>
      <w:r>
        <w:rPr>
          <w:rStyle w:val="Odkaznakoment"/>
        </w:rPr>
        <w:annotationRef/>
      </w:r>
      <w:r>
        <w:t>Upravit dle skutečnosti.</w:t>
      </w:r>
    </w:p>
    <w:p w14:paraId="7AD12CD4" w14:textId="77777777" w:rsidR="00515186" w:rsidRDefault="00515186" w:rsidP="00AA216D">
      <w:pPr>
        <w:pStyle w:val="Textkomente"/>
        <w:jc w:val="left"/>
      </w:pPr>
      <w:r>
        <w:t>Ke všem poskytovaným OOPP je nutno uchovat průvodní a provozní dokumentaci, tj. vše, co je k zakoupenému OOPP poskytnuto výrobcem.</w:t>
      </w:r>
    </w:p>
  </w:comment>
  <w:comment w:id="28" w:author="Vít Hofman" w:date="2022-03-08T09:00:00Z" w:initials="VH">
    <w:p w14:paraId="1E04DFB5" w14:textId="77777777" w:rsidR="00893F84" w:rsidRDefault="00893F84" w:rsidP="005D57F4">
      <w:pPr>
        <w:pStyle w:val="Textkomente"/>
        <w:jc w:val="left"/>
      </w:pPr>
      <w:r>
        <w:rPr>
          <w:rStyle w:val="Odkaznakoment"/>
        </w:rPr>
        <w:annotationRef/>
      </w:r>
      <w:r>
        <w:t>Zde pozor! U OOPP kategorie III, např. postroj k zachycení pádu nebo plynová celoobličejová maska, se vedou provozní záznamy, např. karty nebo revizní knihy apod. Je nutno jasně stanovit, kdo tyto záznamy povede.</w:t>
      </w:r>
    </w:p>
  </w:comment>
  <w:comment w:id="31" w:author="Vít Hofman" w:date="2022-03-08T09:04:00Z" w:initials="VH">
    <w:p w14:paraId="2CB76CB5" w14:textId="77777777" w:rsidR="00C559DA" w:rsidRDefault="00C559DA" w:rsidP="00127396">
      <w:pPr>
        <w:pStyle w:val="Textkomente"/>
        <w:jc w:val="left"/>
      </w:pPr>
      <w:r>
        <w:rPr>
          <w:rStyle w:val="Odkaznakoment"/>
        </w:rPr>
        <w:annotationRef/>
      </w:r>
      <w:r>
        <w:t>Případně kapitolu smazat nebo ponechat, jako rezervu do budoucna.</w:t>
      </w:r>
    </w:p>
  </w:comment>
  <w:comment w:id="41" w:author="Vít Hofman" w:date="2022-03-08T11:18:00Z" w:initials="VH">
    <w:p w14:paraId="7642FC8E" w14:textId="77777777" w:rsidR="00C35DD7" w:rsidRDefault="00C35DD7">
      <w:pPr>
        <w:pStyle w:val="Textkomente"/>
        <w:jc w:val="left"/>
      </w:pPr>
      <w:r>
        <w:rPr>
          <w:rStyle w:val="Odkaznakoment"/>
        </w:rPr>
        <w:annotationRef/>
      </w:r>
      <w:r>
        <w:t>Pozor, toto je dost na hraně.</w:t>
      </w:r>
    </w:p>
    <w:p w14:paraId="02DFD1B2" w14:textId="77777777" w:rsidR="00C35DD7" w:rsidRDefault="00C35DD7">
      <w:pPr>
        <w:pStyle w:val="Textkomente"/>
        <w:jc w:val="left"/>
      </w:pPr>
      <w:r>
        <w:t>Zaměstnavatel nesmí náklady na BOZP přenášet přímo ani nepřímo na zaměstnance.</w:t>
      </w:r>
    </w:p>
    <w:p w14:paraId="5F7C41C0" w14:textId="77777777" w:rsidR="00C35DD7" w:rsidRDefault="00C35DD7">
      <w:pPr>
        <w:pStyle w:val="Textkomente"/>
        <w:jc w:val="left"/>
      </w:pPr>
      <w:r>
        <w:t>Tj. je nutné nahradit zaměstnancům nejen prací prášek, ale rovněž náklady na pračku, energie, vodu a také čas, strávený praním!</w:t>
      </w:r>
    </w:p>
    <w:p w14:paraId="3CF34369" w14:textId="77777777" w:rsidR="00C35DD7" w:rsidRDefault="00C35DD7">
      <w:pPr>
        <w:pStyle w:val="Textkomente"/>
        <w:jc w:val="left"/>
      </w:pPr>
    </w:p>
    <w:p w14:paraId="5B6DE9C3" w14:textId="77777777" w:rsidR="00C35DD7" w:rsidRDefault="00C35DD7">
      <w:pPr>
        <w:pStyle w:val="Textkomente"/>
        <w:jc w:val="left"/>
      </w:pPr>
      <w:r>
        <w:t>Doporučuji zajistit veškerou údržbu poskytovaných OOPP, včetně pracovních oděvů, v režii zaměstnavatele, např. externí firmou.</w:t>
      </w:r>
    </w:p>
    <w:p w14:paraId="22ADB6C8" w14:textId="77777777" w:rsidR="00C35DD7" w:rsidRDefault="00C35DD7">
      <w:pPr>
        <w:pStyle w:val="Textkomente"/>
        <w:jc w:val="left"/>
      </w:pPr>
      <w:r>
        <w:t>Pověřit údržbou, včetně např. praní oděvů samotné zaměstnance doporučuji jen po dohodě s odborovou organizací / zástupci pro oblast BOZP nebo samotnými zaměstnanci.</w:t>
      </w:r>
    </w:p>
    <w:p w14:paraId="7D49E16E" w14:textId="77777777" w:rsidR="00C35DD7" w:rsidRDefault="00C35DD7">
      <w:pPr>
        <w:pStyle w:val="Textkomente"/>
        <w:jc w:val="left"/>
      </w:pPr>
    </w:p>
    <w:p w14:paraId="165A43CE" w14:textId="77777777" w:rsidR="00C35DD7" w:rsidRDefault="00C35DD7" w:rsidP="00740FBD">
      <w:pPr>
        <w:pStyle w:val="Textkomente"/>
        <w:jc w:val="left"/>
      </w:pPr>
      <w:r>
        <w:rPr>
          <w:b/>
          <w:bCs/>
        </w:rPr>
        <w:t>V této kapitole je nutné popsat skutečný způsob údržby OOPP poskytovaných zaměstnancům.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E0BD3F" w15:done="0"/>
  <w15:commentEx w15:paraId="67077982" w15:done="0"/>
  <w15:commentEx w15:paraId="6A30D1DE" w15:done="0"/>
  <w15:commentEx w15:paraId="739DC2BF" w15:done="0"/>
  <w15:commentEx w15:paraId="471B7BE7" w15:done="0"/>
  <w15:commentEx w15:paraId="55120181" w15:done="0"/>
  <w15:commentEx w15:paraId="65CE2602" w15:done="0"/>
  <w15:commentEx w15:paraId="241A2802" w15:done="0"/>
  <w15:commentEx w15:paraId="1F2CD5C9" w15:done="0"/>
  <w15:commentEx w15:paraId="3D6FB32B" w15:done="0"/>
  <w15:commentEx w15:paraId="7D392745" w15:done="0"/>
  <w15:commentEx w15:paraId="63AD2DFF" w15:done="0"/>
  <w15:commentEx w15:paraId="7AD12CD4" w15:done="0"/>
  <w15:commentEx w15:paraId="1E04DFB5" w15:done="0"/>
  <w15:commentEx w15:paraId="2CB76CB5" w15:done="0"/>
  <w15:commentEx w15:paraId="165A43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954D" w16cex:dateUtc="2022-03-08T07:41:00Z"/>
  <w16cex:commentExtensible w16cex:durableId="25D1955A" w16cex:dateUtc="2022-03-08T07:42:00Z"/>
  <w16cex:commentExtensible w16cex:durableId="25D19562" w16cex:dateUtc="2022-03-08T07:42:00Z"/>
  <w16cex:commentExtensible w16cex:durableId="25D1953E" w16cex:dateUtc="2022-03-08T07:41:00Z"/>
  <w16cex:commentExtensible w16cex:durableId="25D195AA" w16cex:dateUtc="2022-03-08T07:43:00Z"/>
  <w16cex:commentExtensible w16cex:durableId="25D195C0" w16cex:dateUtc="2022-03-08T07:43:00Z"/>
  <w16cex:commentExtensible w16cex:durableId="25D195E6" w16cex:dateUtc="2022-03-08T07:44:00Z"/>
  <w16cex:commentExtensible w16cex:durableId="25D19698" w16cex:dateUtc="2022-03-08T07:47:00Z"/>
  <w16cex:commentExtensible w16cex:durableId="25D1B246" w16cex:dateUtc="2022-03-08T09:45:00Z"/>
  <w16cex:commentExtensible w16cex:durableId="25D1B256" w16cex:dateUtc="2022-03-08T09:45:00Z"/>
  <w16cex:commentExtensible w16cex:durableId="25D1951C" w16cex:dateUtc="2022-03-08T07:41:00Z"/>
  <w16cex:commentExtensible w16cex:durableId="25D19522" w16cex:dateUtc="2022-03-08T07:41:00Z"/>
  <w16cex:commentExtensible w16cex:durableId="25D1990C" w16cex:dateUtc="2022-03-08T07:57:00Z"/>
  <w16cex:commentExtensible w16cex:durableId="25D199CB" w16cex:dateUtc="2022-03-08T08:00:00Z"/>
  <w16cex:commentExtensible w16cex:durableId="25D19A8C" w16cex:dateUtc="2022-03-08T08:04:00Z"/>
  <w16cex:commentExtensible w16cex:durableId="25D1B9EB" w16cex:dateUtc="2022-03-08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E0BD3F" w16cid:durableId="25D1954D"/>
  <w16cid:commentId w16cid:paraId="67077982" w16cid:durableId="25D1955A"/>
  <w16cid:commentId w16cid:paraId="6A30D1DE" w16cid:durableId="25D19562"/>
  <w16cid:commentId w16cid:paraId="739DC2BF" w16cid:durableId="25D1953E"/>
  <w16cid:commentId w16cid:paraId="471B7BE7" w16cid:durableId="25D195AA"/>
  <w16cid:commentId w16cid:paraId="55120181" w16cid:durableId="25D195C0"/>
  <w16cid:commentId w16cid:paraId="65CE2602" w16cid:durableId="25D195E6"/>
  <w16cid:commentId w16cid:paraId="241A2802" w16cid:durableId="25D19698"/>
  <w16cid:commentId w16cid:paraId="1F2CD5C9" w16cid:durableId="25D1B246"/>
  <w16cid:commentId w16cid:paraId="3D6FB32B" w16cid:durableId="25D1B256"/>
  <w16cid:commentId w16cid:paraId="7D392745" w16cid:durableId="25D1951C"/>
  <w16cid:commentId w16cid:paraId="63AD2DFF" w16cid:durableId="25D19522"/>
  <w16cid:commentId w16cid:paraId="7AD12CD4" w16cid:durableId="25D1990C"/>
  <w16cid:commentId w16cid:paraId="1E04DFB5" w16cid:durableId="25D199CB"/>
  <w16cid:commentId w16cid:paraId="2CB76CB5" w16cid:durableId="25D19A8C"/>
  <w16cid:commentId w16cid:paraId="165A43CE" w16cid:durableId="25D1B9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6D62" w14:textId="77777777" w:rsidR="009E124C" w:rsidRDefault="009E124C">
      <w:pPr>
        <w:spacing w:line="240" w:lineRule="auto"/>
      </w:pPr>
      <w:r>
        <w:separator/>
      </w:r>
    </w:p>
  </w:endnote>
  <w:endnote w:type="continuationSeparator" w:id="0">
    <w:p w14:paraId="08EE8DBD" w14:textId="77777777" w:rsidR="009E124C" w:rsidRDefault="009E1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1F42" w14:textId="77777777" w:rsidR="00B57DBB" w:rsidRDefault="00B57DBB"/>
  <w:tbl>
    <w:tblPr>
      <w:tblStyle w:val="a4"/>
      <w:tblW w:w="9029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09"/>
      <w:gridCol w:w="3010"/>
      <w:gridCol w:w="3010"/>
    </w:tblGrid>
    <w:tr w:rsidR="00B57DBB" w14:paraId="56AD13B8" w14:textId="77777777">
      <w:tc>
        <w:tcPr>
          <w:tcW w:w="3009" w:type="dxa"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4FDBE0" w14:textId="77777777" w:rsidR="00B57DBB" w:rsidRDefault="00B57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</w:pPr>
        </w:p>
      </w:tc>
      <w:tc>
        <w:tcPr>
          <w:tcW w:w="3009" w:type="dxa"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2B3035A" w14:textId="77777777" w:rsidR="00B57DBB" w:rsidRDefault="00B57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</w:pPr>
        </w:p>
      </w:tc>
      <w:tc>
        <w:tcPr>
          <w:tcW w:w="3009" w:type="dxa"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89491E0" w14:textId="77777777" w:rsidR="00B57DBB" w:rsidRDefault="00171C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Strana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D8072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8DA4F69" w14:textId="77777777" w:rsidR="00B57DBB" w:rsidRDefault="00B57D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158A" w14:textId="77777777" w:rsidR="00B57DBB" w:rsidRDefault="00B57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5CA4" w14:textId="77777777" w:rsidR="009E124C" w:rsidRDefault="009E124C">
      <w:pPr>
        <w:spacing w:line="240" w:lineRule="auto"/>
      </w:pPr>
      <w:r>
        <w:separator/>
      </w:r>
    </w:p>
  </w:footnote>
  <w:footnote w:type="continuationSeparator" w:id="0">
    <w:p w14:paraId="7A8D7034" w14:textId="77777777" w:rsidR="009E124C" w:rsidRDefault="009E124C">
      <w:pPr>
        <w:spacing w:line="240" w:lineRule="auto"/>
      </w:pPr>
      <w:r>
        <w:continuationSeparator/>
      </w:r>
    </w:p>
  </w:footnote>
  <w:footnote w:id="1">
    <w:p w14:paraId="5BAE8B25" w14:textId="77777777" w:rsidR="00B57DBB" w:rsidRDefault="00171CCA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16"/>
            <w:szCs w:val="16"/>
            <w:u w:val="single"/>
          </w:rPr>
          <w:t xml:space="preserve">Nařízení Evropského parlamentu a Rady (EU) 2016/425 </w:t>
        </w:r>
      </w:hyperlink>
      <w:r>
        <w:rPr>
          <w:sz w:val="16"/>
          <w:szCs w:val="16"/>
        </w:rPr>
        <w:t>ze dne 9. března 2016 o osobních ochranných prostředcích a o zrušení směrnice Rady 89/686/EHS.</w:t>
      </w:r>
    </w:p>
  </w:footnote>
  <w:footnote w:id="2">
    <w:p w14:paraId="521CE302" w14:textId="77777777" w:rsidR="00B57DBB" w:rsidRDefault="00171CCA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Prostředkem kolektivní ochrany může být např. ochranné zábradlí k omezení rizika pádu z výšky, odsávací zařízení pracovního místa k omezení rizik emisí prachu či chemických látek nebo např. vytápění pracoviště, k omezení rizika chladu.</w:t>
      </w:r>
    </w:p>
  </w:footnote>
  <w:footnote w:id="3">
    <w:p w14:paraId="393D9207" w14:textId="31F87940" w:rsidR="00B57DBB" w:rsidRDefault="00171CCA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" w:anchor="prilohy">
        <w:r>
          <w:rPr>
            <w:color w:val="1155CC"/>
            <w:sz w:val="16"/>
            <w:szCs w:val="16"/>
            <w:u w:val="single"/>
          </w:rPr>
          <w:t xml:space="preserve">Příloha 3, k Nařízení vlády č. </w:t>
        </w:r>
        <w:r w:rsidR="00A0718D">
          <w:rPr>
            <w:color w:val="1155CC"/>
            <w:sz w:val="16"/>
            <w:szCs w:val="16"/>
            <w:u w:val="single"/>
          </w:rPr>
          <w:t>390</w:t>
        </w:r>
        <w:r>
          <w:rPr>
            <w:color w:val="1155CC"/>
            <w:sz w:val="16"/>
            <w:szCs w:val="16"/>
            <w:u w:val="single"/>
          </w:rPr>
          <w:t>/20</w:t>
        </w:r>
        <w:r w:rsidR="00A0718D">
          <w:rPr>
            <w:color w:val="1155CC"/>
            <w:sz w:val="16"/>
            <w:szCs w:val="16"/>
            <w:u w:val="single"/>
          </w:rPr>
          <w:t>2</w:t>
        </w:r>
        <w:r>
          <w:rPr>
            <w:color w:val="1155CC"/>
            <w:sz w:val="16"/>
            <w:szCs w:val="16"/>
            <w:u w:val="single"/>
          </w:rPr>
          <w:t>1 Sb.</w:t>
        </w:r>
      </w:hyperlink>
    </w:p>
  </w:footnote>
  <w:footnote w:id="4">
    <w:p w14:paraId="0A17E944" w14:textId="77777777" w:rsidR="00B57DBB" w:rsidRDefault="00171CCA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3" w:anchor="p102">
        <w:r>
          <w:rPr>
            <w:color w:val="1155CC"/>
            <w:sz w:val="16"/>
            <w:szCs w:val="16"/>
            <w:u w:val="single"/>
          </w:rPr>
          <w:t>odst. (3). § 102, zákona č. 262/2006 Sb.</w:t>
        </w:r>
      </w:hyperlink>
      <w:r>
        <w:rPr>
          <w:sz w:val="16"/>
          <w:szCs w:val="16"/>
        </w:rPr>
        <w:t>, Zákoníku práce, úz.</w:t>
      </w:r>
    </w:p>
  </w:footnote>
  <w:footnote w:id="5">
    <w:p w14:paraId="525C9D8F" w14:textId="77777777" w:rsidR="00B57DBB" w:rsidRDefault="00171CCA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Základní registr právních předpisů BOZP je k dispozici např. na webu </w:t>
      </w:r>
      <w:hyperlink r:id="rId4">
        <w:r>
          <w:rPr>
            <w:color w:val="1155CC"/>
            <w:sz w:val="16"/>
            <w:szCs w:val="16"/>
            <w:u w:val="single"/>
          </w:rPr>
          <w:t>www.sawuh.cz</w:t>
        </w:r>
      </w:hyperlink>
      <w:r>
        <w:rPr>
          <w:sz w:val="16"/>
          <w:szCs w:val="16"/>
        </w:rPr>
        <w:t>.</w:t>
      </w:r>
    </w:p>
  </w:footnote>
  <w:footnote w:id="6">
    <w:p w14:paraId="46155835" w14:textId="77777777" w:rsidR="00B57DBB" w:rsidRDefault="00171CCA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Např. ČSN 05 0601 </w:t>
      </w:r>
      <w:proofErr w:type="spellStart"/>
      <w:r>
        <w:rPr>
          <w:sz w:val="16"/>
          <w:szCs w:val="16"/>
        </w:rPr>
        <w:t>Zváranie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Bezpečnostné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ustanovenia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zváranie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kovo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Prevádzka</w:t>
      </w:r>
      <w:proofErr w:type="spellEnd"/>
      <w:r>
        <w:rPr>
          <w:sz w:val="16"/>
          <w:szCs w:val="16"/>
        </w:rPr>
        <w:t>.</w:t>
      </w:r>
    </w:p>
  </w:footnote>
  <w:footnote w:id="7">
    <w:p w14:paraId="2343DE81" w14:textId="77777777" w:rsidR="0049716A" w:rsidRPr="00A0718D" w:rsidRDefault="0049716A" w:rsidP="0049716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49716A">
        <w:rPr>
          <w:sz w:val="16"/>
          <w:szCs w:val="16"/>
        </w:rPr>
        <w:t xml:space="preserve"> </w:t>
      </w:r>
      <w:hyperlink r:id="rId5" w:history="1">
        <w:r w:rsidRPr="0049716A">
          <w:rPr>
            <w:rStyle w:val="Hypertextovodkaz"/>
            <w:sz w:val="16"/>
            <w:szCs w:val="16"/>
          </w:rPr>
          <w:t>§ 4, nařízení vlády č. 390/2021 Sb.</w:t>
        </w:r>
      </w:hyperlink>
    </w:p>
  </w:footnote>
  <w:footnote w:id="8">
    <w:p w14:paraId="772710A6" w14:textId="77777777" w:rsidR="00B57DBB" w:rsidRDefault="00171CC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hyperlink r:id="rId6">
        <w:r>
          <w:rPr>
            <w:color w:val="1155CC"/>
            <w:sz w:val="16"/>
            <w:szCs w:val="16"/>
            <w:u w:val="single"/>
          </w:rPr>
          <w:t xml:space="preserve">Nařízení Evropského parlamentu a Rady (EU) 2016/425 </w:t>
        </w:r>
      </w:hyperlink>
      <w:r>
        <w:rPr>
          <w:sz w:val="16"/>
          <w:szCs w:val="16"/>
        </w:rPr>
        <w:t>ze dne 9. března 2016 o osobních ochranných prostředcích a o zrušení směrnice Rady 89/686/EHS.</w:t>
      </w:r>
    </w:p>
  </w:footnote>
  <w:footnote w:id="9">
    <w:p w14:paraId="391C8F7C" w14:textId="12B99581" w:rsidR="00515186" w:rsidRPr="00515186" w:rsidRDefault="0051518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515186">
        <w:rPr>
          <w:sz w:val="16"/>
          <w:szCs w:val="16"/>
        </w:rPr>
        <w:t xml:space="preserve"> </w:t>
      </w:r>
      <w:hyperlink r:id="rId7" w:history="1">
        <w:r w:rsidRPr="00515186">
          <w:rPr>
            <w:rStyle w:val="Hypertextovodkaz"/>
            <w:sz w:val="16"/>
            <w:szCs w:val="16"/>
            <w:lang w:val="cs-CZ"/>
          </w:rPr>
          <w:t>odst. (3), § 3, NV. č. 390/2021 Sb.</w:t>
        </w:r>
      </w:hyperlink>
    </w:p>
  </w:footnote>
  <w:footnote w:id="10">
    <w:p w14:paraId="30B6A39F" w14:textId="77777777" w:rsidR="00B57DBB" w:rsidRDefault="00171CCA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Nelze uvádět např. “pracovní obuv” nebo “pracovní rukavice”, ale poskytnutý OOPP je nutné specifikovat, např. bezpečnostní obuv kategorie S3 nebo nitrilové rukavice, krátké, jednorázové.</w:t>
      </w:r>
    </w:p>
  </w:footnote>
  <w:footnote w:id="11">
    <w:p w14:paraId="3C898EDF" w14:textId="77777777" w:rsidR="00B113D7" w:rsidRPr="00BB6FB9" w:rsidRDefault="00B113D7" w:rsidP="00B113D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hyperlink r:id="rId8" w:anchor="prilohy" w:history="1">
        <w:r w:rsidRPr="00B113D7">
          <w:rPr>
            <w:rStyle w:val="Hypertextovodkaz"/>
            <w:sz w:val="16"/>
            <w:szCs w:val="16"/>
            <w:lang w:val="cs-CZ"/>
          </w:rPr>
          <w:t>Příloha č. 4, NV. č. 390/2021 Sb.</w:t>
        </w:r>
      </w:hyperlink>
    </w:p>
  </w:footnote>
  <w:footnote w:id="12">
    <w:p w14:paraId="2954648B" w14:textId="6F44A869" w:rsidR="00B461E0" w:rsidRPr="00B461E0" w:rsidRDefault="00B461E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hyperlink r:id="rId9" w:anchor="p5" w:history="1">
        <w:r w:rsidRPr="00B461E0">
          <w:rPr>
            <w:rStyle w:val="Hypertextovodkaz"/>
            <w:sz w:val="16"/>
            <w:szCs w:val="16"/>
          </w:rPr>
          <w:t>§ 5</w:t>
        </w:r>
      </w:hyperlink>
      <w:r w:rsidRPr="00B461E0">
        <w:rPr>
          <w:sz w:val="16"/>
          <w:szCs w:val="16"/>
        </w:rPr>
        <w:t xml:space="preserve">, </w:t>
      </w:r>
      <w:hyperlink r:id="rId10" w:anchor="prilohy" w:history="1">
        <w:r w:rsidRPr="00B461E0">
          <w:rPr>
            <w:rStyle w:val="Hypertextovodkaz"/>
            <w:sz w:val="16"/>
            <w:szCs w:val="16"/>
          </w:rPr>
          <w:t>příloha č. 4</w:t>
        </w:r>
      </w:hyperlink>
      <w:r w:rsidRPr="00B461E0">
        <w:rPr>
          <w:sz w:val="16"/>
          <w:szCs w:val="16"/>
        </w:rPr>
        <w:t>, NV. č. 390/2021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79F" w14:textId="77777777" w:rsidR="00B57DBB" w:rsidRDefault="00B57DBB">
    <w:pPr>
      <w:rPr>
        <w:rFonts w:ascii="Oswald" w:eastAsia="Oswald" w:hAnsi="Oswald" w:cs="Oswald"/>
      </w:rPr>
    </w:pPr>
  </w:p>
  <w:tbl>
    <w:tblPr>
      <w:tblStyle w:val="a3"/>
      <w:tblW w:w="9029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B57DBB" w14:paraId="4973BFCC" w14:textId="77777777">
      <w:trPr>
        <w:trHeight w:val="3"/>
      </w:trPr>
      <w:tc>
        <w:tcPr>
          <w:tcW w:w="9029" w:type="dxa"/>
          <w:tcBorders>
            <w:top w:val="nil"/>
            <w:left w:val="single" w:sz="48" w:space="0" w:color="999999"/>
            <w:bottom w:val="nil"/>
            <w:right w:val="nil"/>
          </w:tcBorders>
          <w:shd w:val="clear" w:color="auto" w:fill="EFEFEF"/>
          <w:tcMar>
            <w:top w:w="100" w:type="dxa"/>
            <w:left w:w="100" w:type="dxa"/>
            <w:bottom w:w="100" w:type="dxa"/>
            <w:right w:w="100" w:type="dxa"/>
          </w:tcMar>
        </w:tcPr>
        <w:p w14:paraId="67552B87" w14:textId="77777777" w:rsidR="00B57DBB" w:rsidRDefault="00171CCA">
          <w:pPr>
            <w:spacing w:line="240" w:lineRule="auto"/>
            <w:jc w:val="right"/>
            <w:rPr>
              <w:rFonts w:ascii="Oswald" w:eastAsia="Oswald" w:hAnsi="Oswald" w:cs="Oswald"/>
              <w:b/>
              <w:color w:val="999999"/>
              <w:sz w:val="16"/>
              <w:szCs w:val="16"/>
            </w:rPr>
          </w:pPr>
          <w:r>
            <w:rPr>
              <w:rFonts w:ascii="Oswald" w:eastAsia="Oswald" w:hAnsi="Oswald" w:cs="Oswald"/>
              <w:b/>
              <w:color w:val="999999"/>
              <w:sz w:val="16"/>
              <w:szCs w:val="16"/>
            </w:rPr>
            <w:t>STANOVENÍ DALŠÍCH POŽADAVKŮ NA OOPP U ZAMĚSTNAVATELE [saw_F01.01]</w:t>
          </w:r>
        </w:p>
      </w:tc>
    </w:tr>
  </w:tbl>
  <w:p w14:paraId="7891C235" w14:textId="77777777" w:rsidR="00B57DBB" w:rsidRDefault="00B57D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E083" w14:textId="77777777" w:rsidR="00B57DBB" w:rsidRDefault="00B57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E13"/>
    <w:multiLevelType w:val="multilevel"/>
    <w:tmpl w:val="ADB0BDA4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0A27E8"/>
    <w:multiLevelType w:val="multilevel"/>
    <w:tmpl w:val="762AA52E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0D5B5D"/>
    <w:multiLevelType w:val="multilevel"/>
    <w:tmpl w:val="4DF41EDE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1.ー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ー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ー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ー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ー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ー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ー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6D7459"/>
    <w:multiLevelType w:val="multilevel"/>
    <w:tmpl w:val="BB9CD76C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5C41C0"/>
    <w:multiLevelType w:val="multilevel"/>
    <w:tmpl w:val="4B2E8C36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AA1288"/>
    <w:multiLevelType w:val="multilevel"/>
    <w:tmpl w:val="5A2A6D1A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BB4E83"/>
    <w:multiLevelType w:val="multilevel"/>
    <w:tmpl w:val="63E84BDC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3F6B31"/>
    <w:multiLevelType w:val="multilevel"/>
    <w:tmpl w:val="ED625B3C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2827DED"/>
    <w:multiLevelType w:val="multilevel"/>
    <w:tmpl w:val="67720520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5B5E3F"/>
    <w:multiLevelType w:val="multilevel"/>
    <w:tmpl w:val="BB6A48E8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0813B0"/>
    <w:multiLevelType w:val="multilevel"/>
    <w:tmpl w:val="1264EA46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117423"/>
    <w:multiLevelType w:val="multilevel"/>
    <w:tmpl w:val="43BAA70C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76262D3"/>
    <w:multiLevelType w:val="multilevel"/>
    <w:tmpl w:val="FEDA76E6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DFD5435"/>
    <w:multiLevelType w:val="multilevel"/>
    <w:tmpl w:val="84761DBE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2C22D7"/>
    <w:multiLevelType w:val="multilevel"/>
    <w:tmpl w:val="983CA49A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15F1B28"/>
    <w:multiLevelType w:val="multilevel"/>
    <w:tmpl w:val="EBC0ABDC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E51373A"/>
    <w:multiLevelType w:val="multilevel"/>
    <w:tmpl w:val="C9181D70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CA5AA2"/>
    <w:multiLevelType w:val="multilevel"/>
    <w:tmpl w:val="8292BC56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EE910C6"/>
    <w:multiLevelType w:val="multilevel"/>
    <w:tmpl w:val="66D8C99A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02D14E8"/>
    <w:multiLevelType w:val="multilevel"/>
    <w:tmpl w:val="7CC2854C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3A0658"/>
    <w:multiLevelType w:val="multilevel"/>
    <w:tmpl w:val="0562D4F2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3F357A5"/>
    <w:multiLevelType w:val="multilevel"/>
    <w:tmpl w:val="564AD8CE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5A14D5F"/>
    <w:multiLevelType w:val="multilevel"/>
    <w:tmpl w:val="EACAE9E6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CC23BDD"/>
    <w:multiLevelType w:val="multilevel"/>
    <w:tmpl w:val="7D14CD8C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1A07F1A"/>
    <w:multiLevelType w:val="multilevel"/>
    <w:tmpl w:val="C60C4382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2D253FD"/>
    <w:multiLevelType w:val="multilevel"/>
    <w:tmpl w:val="D6DC397A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5FC415D"/>
    <w:multiLevelType w:val="multilevel"/>
    <w:tmpl w:val="ABAC8DBA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7A72D88"/>
    <w:multiLevelType w:val="multilevel"/>
    <w:tmpl w:val="0F26A76A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C6F3628"/>
    <w:multiLevelType w:val="multilevel"/>
    <w:tmpl w:val="B1A22A50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F421880"/>
    <w:multiLevelType w:val="multilevel"/>
    <w:tmpl w:val="51604C9E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1D12AAF"/>
    <w:multiLevelType w:val="multilevel"/>
    <w:tmpl w:val="6FDE3B5E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2EC0750"/>
    <w:multiLevelType w:val="multilevel"/>
    <w:tmpl w:val="7ED41240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8477B9A"/>
    <w:multiLevelType w:val="multilevel"/>
    <w:tmpl w:val="10E21AE4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ー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ー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ー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ー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ー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ー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ー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ー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DA57BA0"/>
    <w:multiLevelType w:val="multilevel"/>
    <w:tmpl w:val="16C25C1E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FE71B1B"/>
    <w:multiLevelType w:val="multilevel"/>
    <w:tmpl w:val="0B3A176C"/>
    <w:lvl w:ilvl="0">
      <w:start w:val="1"/>
      <w:numFmt w:val="decimal"/>
      <w:lvlText w:val="(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3"/>
  </w:num>
  <w:num w:numId="3">
    <w:abstractNumId w:val="34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0"/>
  </w:num>
  <w:num w:numId="9">
    <w:abstractNumId w:val="25"/>
  </w:num>
  <w:num w:numId="10">
    <w:abstractNumId w:val="12"/>
  </w:num>
  <w:num w:numId="11">
    <w:abstractNumId w:val="28"/>
  </w:num>
  <w:num w:numId="12">
    <w:abstractNumId w:val="15"/>
  </w:num>
  <w:num w:numId="13">
    <w:abstractNumId w:val="22"/>
  </w:num>
  <w:num w:numId="14">
    <w:abstractNumId w:val="20"/>
  </w:num>
  <w:num w:numId="15">
    <w:abstractNumId w:val="32"/>
  </w:num>
  <w:num w:numId="16">
    <w:abstractNumId w:val="30"/>
  </w:num>
  <w:num w:numId="17">
    <w:abstractNumId w:val="33"/>
  </w:num>
  <w:num w:numId="18">
    <w:abstractNumId w:val="13"/>
  </w:num>
  <w:num w:numId="19">
    <w:abstractNumId w:val="10"/>
  </w:num>
  <w:num w:numId="20">
    <w:abstractNumId w:val="6"/>
  </w:num>
  <w:num w:numId="21">
    <w:abstractNumId w:val="24"/>
  </w:num>
  <w:num w:numId="22">
    <w:abstractNumId w:val="5"/>
  </w:num>
  <w:num w:numId="23">
    <w:abstractNumId w:val="29"/>
  </w:num>
  <w:num w:numId="24">
    <w:abstractNumId w:val="21"/>
  </w:num>
  <w:num w:numId="25">
    <w:abstractNumId w:val="27"/>
  </w:num>
  <w:num w:numId="26">
    <w:abstractNumId w:val="1"/>
  </w:num>
  <w:num w:numId="27">
    <w:abstractNumId w:val="8"/>
  </w:num>
  <w:num w:numId="28">
    <w:abstractNumId w:val="3"/>
  </w:num>
  <w:num w:numId="29">
    <w:abstractNumId w:val="31"/>
  </w:num>
  <w:num w:numId="30">
    <w:abstractNumId w:val="19"/>
  </w:num>
  <w:num w:numId="31">
    <w:abstractNumId w:val="9"/>
  </w:num>
  <w:num w:numId="32">
    <w:abstractNumId w:val="7"/>
  </w:num>
  <w:num w:numId="33">
    <w:abstractNumId w:val="16"/>
  </w:num>
  <w:num w:numId="34">
    <w:abstractNumId w:val="17"/>
  </w:num>
  <w:num w:numId="35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ít Hofman">
    <w15:presenceInfo w15:providerId="Windows Live" w15:userId="26d4c8ed6b8ba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BB"/>
    <w:rsid w:val="00100EBC"/>
    <w:rsid w:val="001432A8"/>
    <w:rsid w:val="00171CCA"/>
    <w:rsid w:val="00177752"/>
    <w:rsid w:val="002864C6"/>
    <w:rsid w:val="002F60C0"/>
    <w:rsid w:val="00342A48"/>
    <w:rsid w:val="00344FFF"/>
    <w:rsid w:val="003C3167"/>
    <w:rsid w:val="003F60FB"/>
    <w:rsid w:val="0049716A"/>
    <w:rsid w:val="00515186"/>
    <w:rsid w:val="0058036D"/>
    <w:rsid w:val="00624A57"/>
    <w:rsid w:val="006436DA"/>
    <w:rsid w:val="007431F2"/>
    <w:rsid w:val="00791C15"/>
    <w:rsid w:val="00893F84"/>
    <w:rsid w:val="009230DB"/>
    <w:rsid w:val="0099485D"/>
    <w:rsid w:val="009E124C"/>
    <w:rsid w:val="009F1179"/>
    <w:rsid w:val="00A0718D"/>
    <w:rsid w:val="00B113D7"/>
    <w:rsid w:val="00B461E0"/>
    <w:rsid w:val="00B57DBB"/>
    <w:rsid w:val="00B96322"/>
    <w:rsid w:val="00BB6FB9"/>
    <w:rsid w:val="00C35DD7"/>
    <w:rsid w:val="00C559DA"/>
    <w:rsid w:val="00CA53EE"/>
    <w:rsid w:val="00CE5B10"/>
    <w:rsid w:val="00D161DF"/>
    <w:rsid w:val="00D2772E"/>
    <w:rsid w:val="00D80725"/>
    <w:rsid w:val="00DA3E3C"/>
    <w:rsid w:val="00DA70C5"/>
    <w:rsid w:val="00DD1F1F"/>
    <w:rsid w:val="00E02F41"/>
    <w:rsid w:val="00E1076F"/>
    <w:rsid w:val="00E30004"/>
    <w:rsid w:val="00E6062D"/>
    <w:rsid w:val="00F4504F"/>
    <w:rsid w:val="00F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C527"/>
  <w15:docId w15:val="{C02D2FA4-9758-4083-BB19-A798C0A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cs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left w:val="single" w:sz="48" w:space="2" w:color="990000"/>
      </w:pBdr>
      <w:shd w:val="clear" w:color="auto" w:fill="C00000"/>
      <w:spacing w:before="400" w:after="120"/>
      <w:ind w:left="170"/>
      <w:outlineLvl w:val="0"/>
    </w:pPr>
    <w:rPr>
      <w:b/>
      <w:color w:val="FFFFFF"/>
      <w:sz w:val="30"/>
      <w:szCs w:val="3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pBdr>
        <w:left w:val="single" w:sz="48" w:space="2" w:color="999999"/>
      </w:pBdr>
      <w:shd w:val="clear" w:color="auto" w:fill="EFEFEF"/>
      <w:spacing w:before="360" w:after="120"/>
      <w:ind w:left="527" w:hanging="357"/>
      <w:outlineLvl w:val="1"/>
    </w:pPr>
    <w:rPr>
      <w:b/>
      <w:color w:val="666666"/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 w:line="259" w:lineRule="auto"/>
      <w:outlineLvl w:val="2"/>
    </w:pPr>
    <w:rPr>
      <w:b/>
      <w:color w:val="073763"/>
      <w:sz w:val="22"/>
      <w:szCs w:val="22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jc w:val="right"/>
      <w:outlineLvl w:val="3"/>
    </w:pPr>
    <w:rPr>
      <w:b/>
      <w:color w:val="073763"/>
      <w:sz w:val="21"/>
      <w:szCs w:val="21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40" w:after="80"/>
      <w:jc w:val="right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160"/>
    </w:pPr>
    <w:rPr>
      <w:b/>
      <w:color w:val="073763"/>
      <w:sz w:val="30"/>
      <w:szCs w:val="3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D8072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80725"/>
    <w:pPr>
      <w:spacing w:after="100"/>
      <w:ind w:left="190"/>
    </w:pPr>
  </w:style>
  <w:style w:type="paragraph" w:styleId="Obsah3">
    <w:name w:val="toc 3"/>
    <w:basedOn w:val="Normln"/>
    <w:next w:val="Normln"/>
    <w:autoRedefine/>
    <w:uiPriority w:val="39"/>
    <w:unhideWhenUsed/>
    <w:rsid w:val="00D80725"/>
    <w:pPr>
      <w:spacing w:after="100"/>
      <w:ind w:left="380"/>
    </w:pPr>
  </w:style>
  <w:style w:type="paragraph" w:styleId="Obsah5">
    <w:name w:val="toc 5"/>
    <w:basedOn w:val="Normln"/>
    <w:next w:val="Normln"/>
    <w:autoRedefine/>
    <w:uiPriority w:val="39"/>
    <w:unhideWhenUsed/>
    <w:rsid w:val="00D80725"/>
    <w:pPr>
      <w:spacing w:after="100"/>
      <w:ind w:left="760"/>
    </w:pPr>
  </w:style>
  <w:style w:type="character" w:styleId="Hypertextovodkaz">
    <w:name w:val="Hyperlink"/>
    <w:basedOn w:val="Standardnpsmoodstavce"/>
    <w:uiPriority w:val="99"/>
    <w:unhideWhenUsed/>
    <w:rsid w:val="00D80725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718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71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718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49716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91C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1C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1C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C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C1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3E3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100EBC"/>
    <w:pPr>
      <w:pBdr>
        <w:left w:val="none" w:sz="0" w:space="0" w:color="auto"/>
      </w:pBdr>
      <w:shd w:val="clear" w:color="auto" w:fill="auto"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jpg"/><Relationship Id="rId18" Type="http://schemas.openxmlformats.org/officeDocument/2006/relationships/hyperlink" Target="https://www.zakonyprolidi.cz/cs/1985-13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vit.hofman@sawuh.cz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zakonyprolidi.cz/cs/2006-309" TargetMode="External"/><Relationship Id="rId20" Type="http://schemas.openxmlformats.org/officeDocument/2006/relationships/hyperlink" Target="https://www.zakonyprolidi.cz/cs/2006-2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zakonyprolidi.cz/cs/2021-39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mailto:vit.hofman@sawuh.cz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zakonyprolidi.cz/cs/2006-262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21-390" TargetMode="External"/><Relationship Id="rId3" Type="http://schemas.openxmlformats.org/officeDocument/2006/relationships/hyperlink" Target="https://www.zakonyprolidi.cz/cs/2006-262" TargetMode="External"/><Relationship Id="rId7" Type="http://schemas.openxmlformats.org/officeDocument/2006/relationships/hyperlink" Target="https://www.zakonyprolidi.cz/cs/2021-390" TargetMode="External"/><Relationship Id="rId2" Type="http://schemas.openxmlformats.org/officeDocument/2006/relationships/hyperlink" Target="https://www.zakonyprolidi.cz/cs/2021-390" TargetMode="External"/><Relationship Id="rId1" Type="http://schemas.openxmlformats.org/officeDocument/2006/relationships/hyperlink" Target="https://eur-lex.europa.eu/legal-content/CS/TXT/PDF/?uri=CELEX:32016R0425&amp;from=EN" TargetMode="External"/><Relationship Id="rId6" Type="http://schemas.openxmlformats.org/officeDocument/2006/relationships/hyperlink" Target="https://eur-lex.europa.eu/legal-content/CS/TXT/PDF/?uri=CELEX:32016R0425&amp;from=EN" TargetMode="External"/><Relationship Id="rId5" Type="http://schemas.openxmlformats.org/officeDocument/2006/relationships/hyperlink" Target="https://www.zakonyprolidi.cz/cs/2021-390" TargetMode="External"/><Relationship Id="rId10" Type="http://schemas.openxmlformats.org/officeDocument/2006/relationships/hyperlink" Target="https://www.zakonyprolidi.cz/cs/2021-390" TargetMode="External"/><Relationship Id="rId4" Type="http://schemas.openxmlformats.org/officeDocument/2006/relationships/hyperlink" Target="https://www.sawuh.cz/prehled-pravnich-predpisu-bozp-a-po/" TargetMode="External"/><Relationship Id="rId9" Type="http://schemas.openxmlformats.org/officeDocument/2006/relationships/hyperlink" Target="https://www.zakonyprolidi.cz/cs/2021-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C5D4-093B-4E7D-87DC-AE5232DE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5218</Words>
  <Characters>30789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 Hofman</cp:lastModifiedBy>
  <cp:revision>8</cp:revision>
  <dcterms:created xsi:type="dcterms:W3CDTF">2022-03-08T07:15:00Z</dcterms:created>
  <dcterms:modified xsi:type="dcterms:W3CDTF">2022-03-08T11:30:00Z</dcterms:modified>
</cp:coreProperties>
</file>