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42C07" w14:paraId="1565B49A" w14:textId="77777777" w:rsidTr="00542C07">
        <w:trPr>
          <w:trHeight w:val="567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  <w:vAlign w:val="center"/>
          </w:tcPr>
          <w:p w14:paraId="7E9E2E5D" w14:textId="76470D37" w:rsidR="00542C07" w:rsidRPr="0036197D" w:rsidRDefault="00542C07" w:rsidP="00542C07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Osnova školení o právních a ostatních předpisech BOZP</w:t>
            </w:r>
          </w:p>
        </w:tc>
      </w:tr>
      <w:tr w:rsidR="00542C07" w14:paraId="2A915114" w14:textId="77777777" w:rsidTr="00542C07">
        <w:trPr>
          <w:trHeight w:val="567"/>
        </w:trPr>
        <w:tc>
          <w:tcPr>
            <w:tcW w:w="906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0A5CA7" w14:textId="172C40D4" w:rsidR="00542C07" w:rsidRPr="0036197D" w:rsidRDefault="001B164D" w:rsidP="00542C07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Práce s expozicí azbestu</w:t>
            </w:r>
          </w:p>
        </w:tc>
      </w:tr>
      <w:tr w:rsidR="002709CD" w14:paraId="360C0D03" w14:textId="77777777" w:rsidTr="00542C07">
        <w:trPr>
          <w:trHeight w:val="11907"/>
        </w:trPr>
        <w:tc>
          <w:tcPr>
            <w:tcW w:w="9062" w:type="dxa"/>
            <w:tcBorders>
              <w:top w:val="single" w:sz="4" w:space="0" w:color="808080" w:themeColor="background1" w:themeShade="80"/>
            </w:tcBorders>
            <w:vAlign w:val="bottom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7"/>
              <w:gridCol w:w="3204"/>
              <w:gridCol w:w="1332"/>
              <w:gridCol w:w="1873"/>
            </w:tblGrid>
            <w:tr w:rsidR="002709CD" w14:paraId="5681FDB6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6FADC5CA" w14:textId="77B2EAB4" w:rsidR="002709CD" w:rsidRPr="00542C07" w:rsidRDefault="002709C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542C07">
                    <w:rPr>
                      <w:color w:val="808080" w:themeColor="background1" w:themeShade="80"/>
                    </w:rPr>
                    <w:t>Typ dokumentu: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</w:tcBorders>
                </w:tcPr>
                <w:p w14:paraId="35B19B44" w14:textId="2785A7F7" w:rsidR="002709CD" w:rsidRDefault="002709CD" w:rsidP="0036197D">
                  <w:r>
                    <w:t>Dokumentace bezpečnosti a ochrany zdraví při práci</w:t>
                  </w:r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  <w:shd w:val="clear" w:color="auto" w:fill="FFC000"/>
                </w:tcPr>
                <w:p w14:paraId="7889B8C3" w14:textId="032A728B" w:rsidR="002709CD" w:rsidRDefault="002709CD" w:rsidP="0036197D">
                  <w:pPr>
                    <w:jc w:val="center"/>
                  </w:pPr>
                  <w:r w:rsidRPr="002709CD">
                    <w:rPr>
                      <w:b/>
                    </w:rPr>
                    <w:t>BOZP</w:t>
                  </w:r>
                </w:p>
              </w:tc>
            </w:tr>
            <w:tr w:rsidR="0036197D" w14:paraId="17B289F4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47A4A0B1" w14:textId="77777777" w:rsidR="0036197D" w:rsidRPr="00542C07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11B57CD9" w14:textId="77777777" w:rsidR="0036197D" w:rsidRDefault="0036197D" w:rsidP="0036197D"/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  <w:shd w:val="clear" w:color="auto" w:fill="auto"/>
                </w:tcPr>
                <w:p w14:paraId="7A833C70" w14:textId="77777777" w:rsidR="0036197D" w:rsidRPr="002709CD" w:rsidRDefault="0036197D" w:rsidP="0036197D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44CDD" w14:paraId="4F76BE64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53EF061C" w14:textId="163500DB" w:rsidR="00F44CDD" w:rsidRPr="00542C07" w:rsidRDefault="00F44CDD" w:rsidP="00F44CDD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542C07">
                    <w:rPr>
                      <w:color w:val="808080" w:themeColor="background1" w:themeShade="80"/>
                    </w:rPr>
                    <w:t>Účel dokumentu: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13CA3598" w14:textId="547A6E50" w:rsidR="00F44CDD" w:rsidRPr="005D1C82" w:rsidRDefault="00F44CDD" w:rsidP="00F44CDD">
                  <w:r w:rsidRPr="00B20DCD">
                    <w:t>Tímto dokumentem se stanoví obsah a rozsah školení o právních a ostatních předpisech k zajištění BOZP zaměstnanců tak, jak to požaduje Zákoník práce.</w:t>
                  </w:r>
                </w:p>
              </w:tc>
            </w:tr>
            <w:tr w:rsidR="0036197D" w14:paraId="7FB90EB7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462381E4" w14:textId="77777777" w:rsidR="0036197D" w:rsidRPr="00542C07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5B3AF43F" w14:textId="77777777" w:rsidR="0036197D" w:rsidRDefault="0036197D" w:rsidP="0036197D"/>
              </w:tc>
            </w:tr>
            <w:tr w:rsidR="002709CD" w14:paraId="28933D61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1972E8AF" w14:textId="264E36F1" w:rsidR="002709CD" w:rsidRPr="00542C07" w:rsidRDefault="002709C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542C07">
                    <w:rPr>
                      <w:color w:val="808080" w:themeColor="background1" w:themeShade="80"/>
                    </w:rPr>
                    <w:t>K právnímu předpisu: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1309689D" w14:textId="685280D0" w:rsidR="002222E0" w:rsidRDefault="002709CD" w:rsidP="002222E0">
                  <w:r>
                    <w:t>Zejména k</w:t>
                  </w:r>
                  <w:r w:rsidR="002222E0">
                    <w:t> </w:t>
                  </w:r>
                  <w:r>
                    <w:t>provedení</w:t>
                  </w:r>
                  <w:r w:rsidR="002222E0">
                    <w:t>:</w:t>
                  </w:r>
                  <w:r>
                    <w:t xml:space="preserve"> </w:t>
                  </w:r>
                </w:p>
                <w:p w14:paraId="704EAB63" w14:textId="77777777" w:rsidR="008B239F" w:rsidRDefault="00282B1A" w:rsidP="004134C4">
                  <w:pPr>
                    <w:pStyle w:val="Odstavecseseznamem"/>
                    <w:numPr>
                      <w:ilvl w:val="0"/>
                      <w:numId w:val="2"/>
                    </w:numPr>
                  </w:pPr>
                  <w:r>
                    <w:t>odst. (</w:t>
                  </w:r>
                  <w:r w:rsidR="004134C4">
                    <w:t>3</w:t>
                  </w:r>
                  <w:r>
                    <w:t xml:space="preserve">), § </w:t>
                  </w:r>
                  <w:r w:rsidR="005D172B">
                    <w:t>10</w:t>
                  </w:r>
                  <w:r w:rsidR="004134C4">
                    <w:t>3</w:t>
                  </w:r>
                  <w:r w:rsidR="005D172B">
                    <w:t>, zákona č. 262/2006 Sb., úz</w:t>
                  </w:r>
                  <w:r w:rsidR="001B164D">
                    <w:t>;</w:t>
                  </w:r>
                </w:p>
                <w:p w14:paraId="685539B2" w14:textId="1864952E" w:rsidR="001B164D" w:rsidRDefault="001B164D" w:rsidP="004134C4">
                  <w:pPr>
                    <w:pStyle w:val="Odstavecseseznamem"/>
                    <w:numPr>
                      <w:ilvl w:val="0"/>
                      <w:numId w:val="2"/>
                    </w:numPr>
                  </w:pPr>
                  <w:r>
                    <w:t>odst. (6), § 21, nařízení vlády č. 361/2007 Sb., úz,</w:t>
                  </w:r>
                </w:p>
              </w:tc>
            </w:tr>
            <w:tr w:rsidR="0036197D" w14:paraId="1BCEB26E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6D654253" w14:textId="77777777" w:rsidR="0036197D" w:rsidRPr="00542C07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60AE5A65" w14:textId="77777777" w:rsidR="0036197D" w:rsidRDefault="0036197D" w:rsidP="0036197D"/>
              </w:tc>
            </w:tr>
            <w:tr w:rsidR="00F44CDD" w14:paraId="319F3401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2E019D3" w14:textId="3F410C5B" w:rsidR="00F44CDD" w:rsidRPr="00542C07" w:rsidRDefault="00F44CDD" w:rsidP="00F44CDD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542C07">
                    <w:rPr>
                      <w:color w:val="808080" w:themeColor="background1" w:themeShade="80"/>
                    </w:rPr>
                    <w:t>Dokument je závazný pro: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2A4B9BA8" w14:textId="0DEB3C4D" w:rsidR="00F44CDD" w:rsidRDefault="00F44CDD" w:rsidP="00F44CDD">
                  <w:r w:rsidRPr="009D025B">
                    <w:t>Zamě</w:t>
                  </w:r>
                  <w:r>
                    <w:t>stnavatel, vedoucí zaměstnanci, zaměstnanci, OZO BOZP</w:t>
                  </w:r>
                </w:p>
              </w:tc>
            </w:tr>
            <w:tr w:rsidR="0036197D" w14:paraId="2488738C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13EE0458" w14:textId="77777777" w:rsidR="0036197D" w:rsidRPr="00542C07" w:rsidRDefault="0036197D" w:rsidP="0036197D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2D294D55" w14:textId="77777777" w:rsidR="0036197D" w:rsidRDefault="0036197D" w:rsidP="0036197D"/>
              </w:tc>
            </w:tr>
            <w:tr w:rsidR="001B61B8" w14:paraId="193C8F26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56C5102" w14:textId="1E2D8DB7" w:rsidR="001B61B8" w:rsidRPr="00542C07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542C07">
                    <w:rPr>
                      <w:color w:val="808080" w:themeColor="background1" w:themeShade="80"/>
                    </w:rPr>
                    <w:t>Místo a rozsah účinnosti:</w:t>
                  </w:r>
                </w:p>
              </w:tc>
              <w:tc>
                <w:tcPr>
                  <w:tcW w:w="3204" w:type="dxa"/>
                  <w:tcBorders>
                    <w:top w:val="dotted" w:sz="4" w:space="0" w:color="ED7D31" w:themeColor="accent2"/>
                    <w:left w:val="dotted" w:sz="4" w:space="0" w:color="ED7D31" w:themeColor="accent2"/>
                  </w:tcBorders>
                  <w:shd w:val="clear" w:color="auto" w:fill="D9D9D9" w:themeFill="background1" w:themeFillShade="D9"/>
                </w:tcPr>
                <w:p w14:paraId="676C9763" w14:textId="645F60C4" w:rsidR="001B61B8" w:rsidRPr="001B61B8" w:rsidRDefault="001B61B8" w:rsidP="001B61B8">
                  <w:r w:rsidRPr="001B61B8">
                    <w:t>Zaměstnavatel</w:t>
                  </w:r>
                </w:p>
              </w:tc>
              <w:tc>
                <w:tcPr>
                  <w:tcW w:w="3205" w:type="dxa"/>
                  <w:gridSpan w:val="2"/>
                  <w:tcBorders>
                    <w:top w:val="dotted" w:sz="4" w:space="0" w:color="ED7D31" w:themeColor="accent2"/>
                    <w:right w:val="dotted" w:sz="4" w:space="0" w:color="ED7D31" w:themeColor="accent2"/>
                  </w:tcBorders>
                  <w:shd w:val="clear" w:color="auto" w:fill="D9D9D9" w:themeFill="background1" w:themeFillShade="D9"/>
                </w:tcPr>
                <w:p w14:paraId="4BF88CC0" w14:textId="35196992" w:rsidR="001B61B8" w:rsidRPr="001B61B8" w:rsidRDefault="001B61B8" w:rsidP="001B61B8">
                  <w:r w:rsidRPr="001B61B8">
                    <w:t>Pracoviště</w:t>
                  </w:r>
                </w:p>
              </w:tc>
            </w:tr>
            <w:tr w:rsidR="00CC69F1" w14:paraId="62DBCD30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F8F0000" w14:textId="20CD6F34" w:rsidR="00CC69F1" w:rsidRPr="00542C07" w:rsidRDefault="00CC69F1" w:rsidP="00CC69F1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3204" w:type="dxa"/>
                  <w:tcBorders>
                    <w:left w:val="dotted" w:sz="4" w:space="0" w:color="ED7D31" w:themeColor="accent2"/>
                    <w:bottom w:val="dotted" w:sz="4" w:space="0" w:color="ED7D31" w:themeColor="accent2"/>
                  </w:tcBorders>
                </w:tcPr>
                <w:p w14:paraId="7AE3F4FB" w14:textId="77777777" w:rsidR="00CC69F1" w:rsidRDefault="00CC69F1" w:rsidP="00CC69F1">
                  <w:pPr>
                    <w:rPr>
                      <w:b/>
                    </w:rPr>
                  </w:pPr>
                  <w:r>
                    <w:rPr>
                      <w:b/>
                    </w:rPr>
                    <w:t>Název firmy</w:t>
                  </w:r>
                </w:p>
                <w:p w14:paraId="163A2B96" w14:textId="77777777" w:rsidR="00CC69F1" w:rsidRPr="001B61B8" w:rsidRDefault="00CC69F1" w:rsidP="00CC69F1">
                  <w:r>
                    <w:t>Ulice + ČP</w:t>
                  </w:r>
                </w:p>
                <w:p w14:paraId="50A6CA45" w14:textId="77777777" w:rsidR="00CC69F1" w:rsidRPr="001B61B8" w:rsidRDefault="00CC69F1" w:rsidP="00CC69F1">
                  <w:r>
                    <w:t>PSČ + Obec</w:t>
                  </w:r>
                </w:p>
                <w:p w14:paraId="7FFE3434" w14:textId="29AA9C6C" w:rsidR="00CC69F1" w:rsidRPr="001B61B8" w:rsidRDefault="00CC69F1" w:rsidP="00CC69F1">
                  <w:r w:rsidRPr="001B61B8">
                    <w:t xml:space="preserve">IČ: </w:t>
                  </w:r>
                  <w:r>
                    <w:t>123 45 678</w:t>
                  </w:r>
                </w:p>
              </w:tc>
              <w:tc>
                <w:tcPr>
                  <w:tcW w:w="3205" w:type="dxa"/>
                  <w:gridSpan w:val="2"/>
                  <w:tcBorders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3BFFE408" w14:textId="113FAF88" w:rsidR="00CC69F1" w:rsidRPr="002222E0" w:rsidRDefault="00CC69F1" w:rsidP="00CC69F1">
                  <w:pPr>
                    <w:rPr>
                      <w:b/>
                    </w:rPr>
                  </w:pPr>
                  <w:r>
                    <w:rPr>
                      <w:b/>
                    </w:rPr>
                    <w:t>Všechna pracoviště společnosti</w:t>
                  </w:r>
                </w:p>
              </w:tc>
            </w:tr>
            <w:tr w:rsidR="001B61B8" w14:paraId="3FA5D2AE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745B0F75" w14:textId="77777777" w:rsidR="001B61B8" w:rsidRPr="00542C07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</w:tcBorders>
                </w:tcPr>
                <w:p w14:paraId="646CDEA2" w14:textId="77777777" w:rsidR="001B61B8" w:rsidRDefault="001B61B8" w:rsidP="001B61B8"/>
              </w:tc>
            </w:tr>
            <w:tr w:rsidR="001B61B8" w14:paraId="33FB69ED" w14:textId="77777777" w:rsidTr="0036197D">
              <w:tc>
                <w:tcPr>
                  <w:tcW w:w="2427" w:type="dxa"/>
                  <w:shd w:val="clear" w:color="auto" w:fill="D9D9D9" w:themeFill="background1" w:themeFillShade="D9"/>
                </w:tcPr>
                <w:p w14:paraId="0E381CDE" w14:textId="77777777" w:rsidR="001B61B8" w:rsidRPr="00542C07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c>
              <w:tc>
                <w:tcPr>
                  <w:tcW w:w="4536" w:type="dxa"/>
                  <w:gridSpan w:val="2"/>
                  <w:shd w:val="clear" w:color="auto" w:fill="D9D9D9" w:themeFill="background1" w:themeFillShade="D9"/>
                </w:tcPr>
                <w:p w14:paraId="19B833B6" w14:textId="360BC071" w:rsidR="001B61B8" w:rsidRPr="002709CD" w:rsidRDefault="001B61B8" w:rsidP="001B61B8">
                  <w:r w:rsidRPr="002709CD">
                    <w:t>Kdo</w:t>
                  </w:r>
                </w:p>
              </w:tc>
              <w:tc>
                <w:tcPr>
                  <w:tcW w:w="1873" w:type="dxa"/>
                  <w:shd w:val="clear" w:color="auto" w:fill="D9D9D9" w:themeFill="background1" w:themeFillShade="D9"/>
                </w:tcPr>
                <w:p w14:paraId="2FF70EB1" w14:textId="7B404206" w:rsidR="001B61B8" w:rsidRPr="002709CD" w:rsidRDefault="001B61B8" w:rsidP="001B61B8">
                  <w:r w:rsidRPr="002709CD">
                    <w:t>Datum a podpis</w:t>
                  </w:r>
                </w:p>
              </w:tc>
            </w:tr>
            <w:tr w:rsidR="001B61B8" w14:paraId="11311C6F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bottom w:val="dotted" w:sz="4" w:space="0" w:color="ED7D31" w:themeColor="accent2"/>
                  </w:tcBorders>
                </w:tcPr>
                <w:p w14:paraId="45DDFC8B" w14:textId="1D817430" w:rsidR="001B61B8" w:rsidRPr="00542C07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542C07">
                    <w:rPr>
                      <w:color w:val="808080" w:themeColor="background1" w:themeShade="80"/>
                    </w:rPr>
                    <w:t>Zpracoval:</w:t>
                  </w:r>
                </w:p>
              </w:tc>
              <w:tc>
                <w:tcPr>
                  <w:tcW w:w="4536" w:type="dxa"/>
                  <w:gridSpan w:val="2"/>
                  <w:tcBorders>
                    <w:bottom w:val="dotted" w:sz="4" w:space="0" w:color="ED7D31" w:themeColor="accent2"/>
                  </w:tcBorders>
                </w:tcPr>
                <w:p w14:paraId="05E54E14" w14:textId="2D0053CD" w:rsidR="001B61B8" w:rsidRPr="0036197D" w:rsidRDefault="001B61B8" w:rsidP="001B61B8">
                  <w:pPr>
                    <w:rPr>
                      <w:b/>
                    </w:rPr>
                  </w:pPr>
                  <w:r w:rsidRPr="0036197D">
                    <w:rPr>
                      <w:b/>
                    </w:rPr>
                    <w:t>Ing. Vít Hofman | SAW</w:t>
                  </w:r>
                </w:p>
                <w:p w14:paraId="7BE98498" w14:textId="577595CC" w:rsidR="001B61B8" w:rsidRDefault="001B61B8" w:rsidP="001B61B8">
                  <w:r>
                    <w:t>IČ: 020 65 681</w:t>
                  </w:r>
                </w:p>
                <w:p w14:paraId="57498FF1" w14:textId="7965C7EC" w:rsidR="001B61B8" w:rsidRDefault="00D40E54" w:rsidP="001B61B8">
                  <w:pPr>
                    <w:rPr>
                      <w:lang w:val="en-US"/>
                    </w:rPr>
                  </w:pPr>
                  <w:r>
                    <w:t xml:space="preserve">OZO BOZP </w:t>
                  </w:r>
                  <w:r>
                    <w:rPr>
                      <w:lang w:val="en-US"/>
                    </w:rPr>
                    <w:t xml:space="preserve">[č. </w:t>
                  </w:r>
                  <w:proofErr w:type="spellStart"/>
                  <w:r>
                    <w:rPr>
                      <w:lang w:val="en-US"/>
                    </w:rPr>
                    <w:t>osv</w:t>
                  </w:r>
                  <w:proofErr w:type="spellEnd"/>
                  <w:r>
                    <w:rPr>
                      <w:lang w:val="en-US"/>
                    </w:rPr>
                    <w:t>.: ROVS/4751/PRE/2016]</w:t>
                  </w:r>
                </w:p>
                <w:p w14:paraId="702E49B2" w14:textId="0C028523" w:rsidR="001B61B8" w:rsidRPr="0036197D" w:rsidRDefault="001B61B8" w:rsidP="001B61B8">
                  <w:r>
                    <w:rPr>
                      <w:lang w:val="en-US"/>
                    </w:rPr>
                    <w:t xml:space="preserve">TPO [č. </w:t>
                  </w:r>
                  <w:proofErr w:type="spellStart"/>
                  <w:r>
                    <w:rPr>
                      <w:lang w:val="en-US"/>
                    </w:rPr>
                    <w:t>osv</w:t>
                  </w:r>
                  <w:proofErr w:type="spellEnd"/>
                  <w:r>
                    <w:rPr>
                      <w:lang w:val="en-US"/>
                    </w:rPr>
                    <w:t>.: Š – TPO – 3 / 2011]</w:t>
                  </w:r>
                </w:p>
              </w:tc>
              <w:tc>
                <w:tcPr>
                  <w:tcW w:w="1873" w:type="dxa"/>
                  <w:tcBorders>
                    <w:bottom w:val="dotted" w:sz="4" w:space="0" w:color="ED7D31" w:themeColor="accent2"/>
                  </w:tcBorders>
                </w:tcPr>
                <w:p w14:paraId="3ACE2368" w14:textId="77777777" w:rsidR="001B61B8" w:rsidRDefault="001B61B8" w:rsidP="001B61B8"/>
              </w:tc>
            </w:tr>
            <w:tr w:rsidR="001B61B8" w14:paraId="603934D5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40516FD2" w14:textId="0AFF6BDD" w:rsidR="001B61B8" w:rsidRPr="00542C07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542C07">
                    <w:rPr>
                      <w:color w:val="808080" w:themeColor="background1" w:themeShade="80"/>
                    </w:rPr>
                    <w:t>Kontroloval: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0F3BABF3" w14:textId="77777777" w:rsidR="001B61B8" w:rsidRDefault="001B61B8" w:rsidP="001B61B8"/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7F4048E3" w14:textId="77777777" w:rsidR="001B61B8" w:rsidRDefault="001B61B8" w:rsidP="001B61B8"/>
              </w:tc>
            </w:tr>
            <w:tr w:rsidR="001B61B8" w14:paraId="5DBD0565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top w:val="dotted" w:sz="4" w:space="0" w:color="ED7D31" w:themeColor="accent2"/>
                  </w:tcBorders>
                </w:tcPr>
                <w:p w14:paraId="79401719" w14:textId="1B33CAA1" w:rsidR="001B61B8" w:rsidRPr="00542C07" w:rsidRDefault="001B61B8" w:rsidP="001B61B8">
                  <w:pPr>
                    <w:jc w:val="right"/>
                    <w:rPr>
                      <w:color w:val="808080" w:themeColor="background1" w:themeShade="80"/>
                    </w:rPr>
                  </w:pPr>
                  <w:r w:rsidRPr="00542C07">
                    <w:rPr>
                      <w:color w:val="808080" w:themeColor="background1" w:themeShade="80"/>
                    </w:rPr>
                    <w:t>Schválil a vydal: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</w:tcBorders>
                </w:tcPr>
                <w:p w14:paraId="2AC30C59" w14:textId="460A6AC6" w:rsidR="001B61B8" w:rsidRPr="001B61B8" w:rsidRDefault="001B61B8" w:rsidP="001B61B8">
                  <w:pPr>
                    <w:rPr>
                      <w:b/>
                    </w:rPr>
                  </w:pPr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</w:tcBorders>
                </w:tcPr>
                <w:p w14:paraId="17BD8C53" w14:textId="77777777" w:rsidR="001B61B8" w:rsidRDefault="001B61B8" w:rsidP="001B61B8"/>
              </w:tc>
            </w:tr>
          </w:tbl>
          <w:p w14:paraId="769B11F0" w14:textId="77777777" w:rsidR="002709CD" w:rsidRDefault="002709CD" w:rsidP="0036197D">
            <w:pPr>
              <w:jc w:val="center"/>
            </w:pPr>
          </w:p>
        </w:tc>
      </w:tr>
    </w:tbl>
    <w:sdt>
      <w:sdtPr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id w:val="-157072755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FBBC8B5" w14:textId="3BAC881D" w:rsidR="001B6938" w:rsidRDefault="001B6938">
          <w:pPr>
            <w:pStyle w:val="Nadpisobsahu"/>
          </w:pPr>
          <w:r>
            <w:t>Obsah</w:t>
          </w:r>
        </w:p>
        <w:p w14:paraId="7B707C55" w14:textId="01C4846C" w:rsidR="00D160BE" w:rsidRDefault="001B6938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508679" w:history="1">
            <w:r w:rsidR="00D160BE" w:rsidRPr="00697D5F">
              <w:rPr>
                <w:rStyle w:val="Hypertextovodkaz"/>
                <w:noProof/>
              </w:rPr>
              <w:t>1</w:t>
            </w:r>
            <w:r w:rsidR="00D160BE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D160BE" w:rsidRPr="00697D5F">
              <w:rPr>
                <w:rStyle w:val="Hypertextovodkaz"/>
                <w:noProof/>
              </w:rPr>
              <w:t>Úvodní ustanovení</w:t>
            </w:r>
            <w:r w:rsidR="00D160BE">
              <w:rPr>
                <w:noProof/>
                <w:webHidden/>
              </w:rPr>
              <w:tab/>
            </w:r>
            <w:r w:rsidR="00D160BE">
              <w:rPr>
                <w:noProof/>
                <w:webHidden/>
              </w:rPr>
              <w:fldChar w:fldCharType="begin"/>
            </w:r>
            <w:r w:rsidR="00D160BE">
              <w:rPr>
                <w:noProof/>
                <w:webHidden/>
              </w:rPr>
              <w:instrText xml:space="preserve"> PAGEREF _Toc39508679 \h </w:instrText>
            </w:r>
            <w:r w:rsidR="00D160BE">
              <w:rPr>
                <w:noProof/>
                <w:webHidden/>
              </w:rPr>
            </w:r>
            <w:r w:rsidR="00D160BE">
              <w:rPr>
                <w:noProof/>
                <w:webHidden/>
              </w:rPr>
              <w:fldChar w:fldCharType="separate"/>
            </w:r>
            <w:r w:rsidR="00D160BE">
              <w:rPr>
                <w:noProof/>
                <w:webHidden/>
              </w:rPr>
              <w:t>3</w:t>
            </w:r>
            <w:r w:rsidR="00D160BE">
              <w:rPr>
                <w:noProof/>
                <w:webHidden/>
              </w:rPr>
              <w:fldChar w:fldCharType="end"/>
            </w:r>
          </w:hyperlink>
        </w:p>
        <w:p w14:paraId="255EC6FC" w14:textId="7622389E" w:rsidR="00D160BE" w:rsidRDefault="00D160BE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hyperlink w:anchor="_Toc39508680" w:history="1">
            <w:r w:rsidRPr="00697D5F">
              <w:rPr>
                <w:rStyle w:val="Hypertextovodkaz"/>
                <w:noProof/>
              </w:rPr>
              <w:t>2</w:t>
            </w:r>
            <w:r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Pr="00697D5F">
              <w:rPr>
                <w:rStyle w:val="Hypertextovodkaz"/>
                <w:noProof/>
              </w:rPr>
              <w:t>Stanovení obsahu školení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_Toc39508680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047FFF" w14:textId="0A24A077" w:rsidR="00D160BE" w:rsidRDefault="00D160BE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39508681" w:history="1">
            <w:r w:rsidRPr="00697D5F">
              <w:rPr>
                <w:rStyle w:val="Hypertextovodkaz"/>
                <w:noProof/>
              </w:rPr>
              <w:t>2.1</w:t>
            </w:r>
            <w:r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Pr="00697D5F">
              <w:rPr>
                <w:rStyle w:val="Hypertextovodkaz"/>
                <w:noProof/>
              </w:rPr>
              <w:t>Obecně závazné předpisy BOZP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_Toc39508681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AF3A4C" w14:textId="65477FFD" w:rsidR="00D160BE" w:rsidRDefault="00D160BE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39508682" w:history="1">
            <w:r w:rsidRPr="00697D5F">
              <w:rPr>
                <w:rStyle w:val="Hypertextovodkaz"/>
                <w:noProof/>
              </w:rPr>
              <w:t>2.2</w:t>
            </w:r>
            <w:r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Pr="00697D5F">
              <w:rPr>
                <w:rStyle w:val="Hypertextovodkaz"/>
                <w:noProof/>
              </w:rPr>
              <w:t>Další poskytnuté informace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_Toc39508682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5C3539" w14:textId="22A27374" w:rsidR="00D160BE" w:rsidRDefault="00D160BE">
          <w:pPr>
            <w:pStyle w:val="Obsah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39508683" w:history="1">
            <w:r w:rsidRPr="00697D5F">
              <w:rPr>
                <w:rStyle w:val="Hypertextovodkaz"/>
                <w:noProof/>
              </w:rPr>
              <w:t>2.2.1</w:t>
            </w:r>
            <w:r>
              <w:rPr>
                <w:rFonts w:eastAsiaTheme="minorEastAsia"/>
                <w:noProof/>
                <w:sz w:val="22"/>
                <w:lang w:eastAsia="cs-CZ"/>
              </w:rPr>
              <w:tab/>
            </w:r>
            <w:r w:rsidRPr="00697D5F">
              <w:rPr>
                <w:rStyle w:val="Hypertextovodkaz"/>
                <w:noProof/>
              </w:rPr>
              <w:t>Informace o rizicích a o přijatých opatřeních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_Toc39508683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0F9C1F" w14:textId="3472ADB7" w:rsidR="001B6938" w:rsidRDefault="001B6938">
          <w:r>
            <w:rPr>
              <w:b/>
              <w:bCs/>
            </w:rPr>
            <w:fldChar w:fldCharType="end"/>
          </w:r>
        </w:p>
      </w:sdtContent>
    </w:sdt>
    <w:p w14:paraId="7623A911" w14:textId="338859E8" w:rsidR="002709CD" w:rsidRDefault="00267111" w:rsidP="00EA3E9E">
      <w:r>
        <w:br w:type="page"/>
      </w:r>
    </w:p>
    <w:p w14:paraId="4A4AC24D" w14:textId="0D543583" w:rsidR="00AD126B" w:rsidRDefault="004134C4" w:rsidP="00AD126B">
      <w:pPr>
        <w:pStyle w:val="Nadpis1"/>
      </w:pPr>
      <w:bookmarkStart w:id="0" w:name="_Toc39508679"/>
      <w:r>
        <w:lastRenderedPageBreak/>
        <w:t>Úvodní ustanovení</w:t>
      </w:r>
      <w:bookmarkEnd w:id="0"/>
    </w:p>
    <w:p w14:paraId="27BBC010" w14:textId="77777777" w:rsidR="004134C4" w:rsidRDefault="004134C4" w:rsidP="006E0904">
      <w:pPr>
        <w:numPr>
          <w:ilvl w:val="0"/>
          <w:numId w:val="3"/>
        </w:numPr>
        <w:spacing w:line="276" w:lineRule="auto"/>
        <w:contextualSpacing/>
      </w:pPr>
      <w:r>
        <w:t>Tento dokument:</w:t>
      </w:r>
    </w:p>
    <w:p w14:paraId="68C3E86C" w14:textId="5B7C25B5" w:rsidR="004134C4" w:rsidRDefault="004134C4" w:rsidP="006E0904">
      <w:pPr>
        <w:numPr>
          <w:ilvl w:val="1"/>
          <w:numId w:val="3"/>
        </w:numPr>
        <w:spacing w:line="276" w:lineRule="auto"/>
        <w:contextualSpacing/>
      </w:pPr>
      <w:r>
        <w:t xml:space="preserve">je zpracovaný za účelem naplnění požadavků </w:t>
      </w:r>
      <w:hyperlink r:id="rId8" w:anchor="p103">
        <w:r>
          <w:rPr>
            <w:color w:val="1155CC"/>
            <w:u w:val="single"/>
          </w:rPr>
          <w:t>odst. (2), (3), § 103, zákona č. 262/2006 Sb., Zákoníku práce, úz</w:t>
        </w:r>
      </w:hyperlink>
      <w:r>
        <w:t xml:space="preserve">, </w:t>
      </w:r>
      <w:r w:rsidR="001B164D">
        <w:t xml:space="preserve">a </w:t>
      </w:r>
      <w:hyperlink r:id="rId9" w:anchor="p21" w:history="1">
        <w:r w:rsidR="001B164D" w:rsidRPr="001B164D">
          <w:rPr>
            <w:rStyle w:val="Hypertextovodkaz"/>
          </w:rPr>
          <w:t>odst. (6), § 21, nařízení vlády č. 361/2007 Sb., úz</w:t>
        </w:r>
      </w:hyperlink>
      <w:r w:rsidR="001B164D">
        <w:t xml:space="preserve">, </w:t>
      </w:r>
      <w:r>
        <w:t>jako podklad pro osobu, která bude provádět školení o právních a ostatních předpisech BOZP a zejména k zajištění odborného rozvoje zaměstnanců.</w:t>
      </w:r>
    </w:p>
    <w:p w14:paraId="3EB8636E" w14:textId="38449027" w:rsidR="004134C4" w:rsidRDefault="004134C4" w:rsidP="006E0904">
      <w:pPr>
        <w:numPr>
          <w:ilvl w:val="1"/>
          <w:numId w:val="3"/>
        </w:numPr>
        <w:spacing w:line="276" w:lineRule="auto"/>
        <w:contextualSpacing/>
      </w:pPr>
      <w:r>
        <w:t xml:space="preserve">zpracovává a aktualizuje </w:t>
      </w:r>
      <w:r w:rsidR="00CC69F1">
        <w:t xml:space="preserve">zejména </w:t>
      </w:r>
      <w:r>
        <w:t xml:space="preserve">osoba odborně způsobilá v prevenci rizik v oblasti bezpečnosti a ochrany zdraví při </w:t>
      </w:r>
      <w:proofErr w:type="gramStart"/>
      <w:r>
        <w:t>práci</w:t>
      </w:r>
      <w:proofErr w:type="gramEnd"/>
      <w:r>
        <w:t xml:space="preserve"> a to vždy ve spolupráci s vedoucími zaměstnanci společnosti; změny do změnového listu provádí i zaměstnavatel;</w:t>
      </w:r>
    </w:p>
    <w:p w14:paraId="42CB57E4" w14:textId="36A74881" w:rsidR="004134C4" w:rsidRDefault="004134C4" w:rsidP="006E0904">
      <w:pPr>
        <w:numPr>
          <w:ilvl w:val="1"/>
          <w:numId w:val="3"/>
        </w:numPr>
        <w:spacing w:line="276" w:lineRule="auto"/>
        <w:contextualSpacing/>
      </w:pPr>
      <w:r>
        <w:t xml:space="preserve">musí být aktualizován při všech změnách právních a ostatních předpisů BOZP a změnách místních podmínek pracovišť a činností, které mají vliv na jeho obsah; aktualizace se provádějí vždy před plánovaným školením BOZP; změny se provádějí buď formou zápisu do změnového </w:t>
      </w:r>
      <w:r w:rsidR="00EF086F">
        <w:t>listu, nebo</w:t>
      </w:r>
      <w:r>
        <w:t xml:space="preserve"> vydáním nového aktualizovaného dokumentu. Změna zaznamenaná ve změnovém listu, nabývá účinnosti následující kalendářní den po dni jejího zápisu;</w:t>
      </w:r>
    </w:p>
    <w:p w14:paraId="0DF79302" w14:textId="77777777" w:rsidR="004134C4" w:rsidRDefault="004134C4" w:rsidP="006E0904">
      <w:pPr>
        <w:numPr>
          <w:ilvl w:val="1"/>
          <w:numId w:val="3"/>
        </w:numPr>
        <w:spacing w:line="276" w:lineRule="auto"/>
        <w:contextualSpacing/>
      </w:pPr>
      <w:r>
        <w:t>bude v originálním výtisku trvale uložen na úseku vedení společnosti;</w:t>
      </w:r>
    </w:p>
    <w:p w14:paraId="6DCF6AA6" w14:textId="77777777" w:rsidR="004134C4" w:rsidRDefault="004134C4" w:rsidP="006E0904">
      <w:pPr>
        <w:numPr>
          <w:ilvl w:val="1"/>
          <w:numId w:val="3"/>
        </w:numPr>
        <w:spacing w:line="276" w:lineRule="auto"/>
        <w:contextualSpacing/>
      </w:pPr>
      <w:r>
        <w:t>se pro všechny osoby, pro něž je určen, viz titulní list, stává závazným ode dne, kdy s ním jsou prokazatelně seznámeny, nejdříve však dnem platnosti, rovněž uvedeným na titulním listu; těmto osobám musí být dokument nebo alespoň jeho aktuální kopie trvale k dispozici; všechny osoby, pro něž je dokument určen, s ním musejí být neprodleně po jeho vydání seznámeny;</w:t>
      </w:r>
    </w:p>
    <w:p w14:paraId="493B419D" w14:textId="77777777" w:rsidR="004134C4" w:rsidRDefault="004134C4" w:rsidP="006E0904">
      <w:pPr>
        <w:numPr>
          <w:ilvl w:val="1"/>
          <w:numId w:val="3"/>
        </w:numPr>
        <w:spacing w:line="276" w:lineRule="auto"/>
        <w:contextualSpacing/>
      </w:pPr>
      <w:r>
        <w:t>schvaluje a vydává výhradně zaměstnavatel.</w:t>
      </w:r>
    </w:p>
    <w:p w14:paraId="0150FFAD" w14:textId="77777777" w:rsidR="004134C4" w:rsidRDefault="004134C4" w:rsidP="006E0904">
      <w:pPr>
        <w:numPr>
          <w:ilvl w:val="0"/>
          <w:numId w:val="3"/>
        </w:numPr>
        <w:spacing w:line="276" w:lineRule="auto"/>
        <w:contextualSpacing/>
      </w:pPr>
      <w:r>
        <w:t>Tento dokument nahrazuje všechny dřívější dokumenty a zvyklosti, kterými se jím upravené skutečnosti řídily před jeho vydáním.</w:t>
      </w:r>
    </w:p>
    <w:p w14:paraId="1B6D48F2" w14:textId="6F2BC1B0" w:rsidR="004134C4" w:rsidRDefault="004134C4" w:rsidP="006E0904">
      <w:pPr>
        <w:numPr>
          <w:ilvl w:val="0"/>
          <w:numId w:val="3"/>
        </w:numPr>
        <w:spacing w:line="276" w:lineRule="auto"/>
        <w:contextualSpacing/>
      </w:pPr>
      <w:r>
        <w:t>Školení dle této osnovy školení je určeno všem zaměstnancům společnosti</w:t>
      </w:r>
      <w:r w:rsidR="001B164D">
        <w:t>, kteří jsou nebo mohou být exponování azbestovým vláknům.</w:t>
      </w:r>
    </w:p>
    <w:p w14:paraId="4A942F20" w14:textId="77777777" w:rsidR="004134C4" w:rsidRDefault="004134C4" w:rsidP="006E0904">
      <w:pPr>
        <w:numPr>
          <w:ilvl w:val="0"/>
          <w:numId w:val="3"/>
        </w:numPr>
        <w:spacing w:line="276" w:lineRule="auto"/>
        <w:contextualSpacing/>
      </w:pPr>
      <w:r>
        <w:t xml:space="preserve">Dokladem o absolvování školení je záznam na přiložené prezenční listině. </w:t>
      </w:r>
    </w:p>
    <w:p w14:paraId="31E0C158" w14:textId="77777777" w:rsidR="004134C4" w:rsidRDefault="004134C4" w:rsidP="006E0904">
      <w:pPr>
        <w:numPr>
          <w:ilvl w:val="0"/>
          <w:numId w:val="3"/>
        </w:numPr>
        <w:spacing w:line="276" w:lineRule="auto"/>
        <w:contextualSpacing/>
      </w:pPr>
      <w:r>
        <w:t>Školení dle této osnovy školení:</w:t>
      </w:r>
    </w:p>
    <w:p w14:paraId="16661F8B" w14:textId="2787A110" w:rsidR="004134C4" w:rsidRDefault="004134C4" w:rsidP="006E0904">
      <w:pPr>
        <w:numPr>
          <w:ilvl w:val="1"/>
          <w:numId w:val="3"/>
        </w:numPr>
        <w:spacing w:line="276" w:lineRule="auto"/>
        <w:contextualSpacing/>
      </w:pPr>
      <w:r>
        <w:t xml:space="preserve">provádí </w:t>
      </w:r>
      <w:r w:rsidR="00CC69F1">
        <w:t>OZO BOZP, zaměstnavatel nebo vedoucí zaměstnanci společnosti</w:t>
      </w:r>
      <w:r>
        <w:t>;</w:t>
      </w:r>
    </w:p>
    <w:p w14:paraId="66D4D16A" w14:textId="130DE819" w:rsidR="004134C4" w:rsidRDefault="004134C4" w:rsidP="006E0904">
      <w:pPr>
        <w:numPr>
          <w:ilvl w:val="1"/>
          <w:numId w:val="3"/>
        </w:numPr>
        <w:spacing w:line="276" w:lineRule="auto"/>
        <w:contextualSpacing/>
      </w:pPr>
      <w:r>
        <w:t xml:space="preserve">má platnost nejvýše </w:t>
      </w:r>
      <w:r w:rsidR="001B164D">
        <w:t xml:space="preserve">1 rok </w:t>
      </w:r>
      <w:r>
        <w:t>ode dne provedení školení;</w:t>
      </w:r>
    </w:p>
    <w:p w14:paraId="0D72B903" w14:textId="77777777" w:rsidR="004134C4" w:rsidRDefault="004134C4" w:rsidP="006E0904">
      <w:pPr>
        <w:numPr>
          <w:ilvl w:val="1"/>
          <w:numId w:val="3"/>
        </w:numPr>
        <w:spacing w:line="276" w:lineRule="auto"/>
        <w:contextualSpacing/>
      </w:pPr>
      <w:r>
        <w:t>se provádí vždy v délce, kterou určí zaměstnavatel před zahájením školení;</w:t>
      </w:r>
    </w:p>
    <w:p w14:paraId="053051FB" w14:textId="77777777" w:rsidR="004134C4" w:rsidRDefault="004134C4" w:rsidP="006E0904">
      <w:pPr>
        <w:numPr>
          <w:ilvl w:val="1"/>
          <w:numId w:val="3"/>
        </w:numPr>
        <w:spacing w:line="276" w:lineRule="auto"/>
        <w:contextualSpacing/>
      </w:pPr>
      <w:r>
        <w:t>musí být ukončeno ověřením znalostí školených a to buď:</w:t>
      </w:r>
    </w:p>
    <w:p w14:paraId="29C5ABE7" w14:textId="77777777" w:rsidR="004134C4" w:rsidRDefault="004134C4" w:rsidP="006E0904">
      <w:pPr>
        <w:numPr>
          <w:ilvl w:val="2"/>
          <w:numId w:val="3"/>
        </w:numPr>
        <w:spacing w:line="276" w:lineRule="auto"/>
        <w:contextualSpacing/>
      </w:pPr>
      <w:r>
        <w:t>formou individuálního ústního přezkoušení;</w:t>
      </w:r>
    </w:p>
    <w:p w14:paraId="6DA12FA3" w14:textId="4A76985C" w:rsidR="00EF086F" w:rsidRDefault="004134C4" w:rsidP="00CC69F1">
      <w:pPr>
        <w:numPr>
          <w:ilvl w:val="2"/>
          <w:numId w:val="3"/>
        </w:numPr>
        <w:spacing w:line="276" w:lineRule="auto"/>
        <w:contextualSpacing/>
      </w:pPr>
      <w:r>
        <w:t>zkušebního testu.</w:t>
      </w:r>
      <w:r w:rsidR="00EF086F">
        <w:br w:type="page"/>
      </w:r>
    </w:p>
    <w:p w14:paraId="0A5B51AF" w14:textId="79D64E34" w:rsidR="00EF086F" w:rsidRDefault="00EF086F" w:rsidP="00EF086F">
      <w:pPr>
        <w:pStyle w:val="Nadpis1"/>
      </w:pPr>
      <w:bookmarkStart w:id="1" w:name="_Toc39508680"/>
      <w:r>
        <w:lastRenderedPageBreak/>
        <w:t>Stanovení obsahu školení</w:t>
      </w:r>
      <w:bookmarkEnd w:id="1"/>
    </w:p>
    <w:p w14:paraId="704DDB8B" w14:textId="7E03F343" w:rsidR="00EF086F" w:rsidRDefault="00EF086F" w:rsidP="006E0904">
      <w:pPr>
        <w:numPr>
          <w:ilvl w:val="0"/>
          <w:numId w:val="4"/>
        </w:numPr>
        <w:spacing w:line="276" w:lineRule="auto"/>
        <w:contextualSpacing/>
      </w:pPr>
      <w:r>
        <w:t>Touto kapitolou se stanoví obsah školení, tj. seznam předpisů a jejich konkrétních částí, které musejí být při školení řádně prezentovány školeným zaměstnancům a to tak, aby jim tito zaměstnanci mohli porozumět, pochopit je</w:t>
      </w:r>
      <w:r w:rsidR="00FE1939">
        <w:t xml:space="preserve"> a při své funkci se jimi řídit.</w:t>
      </w:r>
    </w:p>
    <w:p w14:paraId="75EC4E6A" w14:textId="77777777" w:rsidR="00EF086F" w:rsidRDefault="00EF086F" w:rsidP="006E0904">
      <w:pPr>
        <w:numPr>
          <w:ilvl w:val="0"/>
          <w:numId w:val="4"/>
        </w:numPr>
        <w:spacing w:line="276" w:lineRule="auto"/>
        <w:contextualSpacing/>
      </w:pPr>
      <w:r>
        <w:t xml:space="preserve">Tam, kde u jednotlivých uvedených předpisů, nejsou stanoveny jejich konkrétní části </w:t>
      </w:r>
      <w:r>
        <w:rPr>
          <w:i/>
        </w:rPr>
        <w:t>(např. §§, odst., písm., čl. apod.)</w:t>
      </w:r>
      <w:r>
        <w:t>, jsou obsahem školení tyto předpisy v celém rozsahu. Obdobně, pokud např. u § nejsou uvedeny jednotlivé odst., popř. i písm., je obsahem školení celý uvedený §.</w:t>
      </w:r>
    </w:p>
    <w:p w14:paraId="05894082" w14:textId="6D9CEAFF" w:rsidR="00EF086F" w:rsidRDefault="00EF086F" w:rsidP="006E0904">
      <w:pPr>
        <w:numPr>
          <w:ilvl w:val="0"/>
          <w:numId w:val="4"/>
        </w:numPr>
        <w:spacing w:line="276" w:lineRule="auto"/>
        <w:contextualSpacing/>
      </w:pPr>
      <w:r>
        <w:t xml:space="preserve">Podtržením zvýrazněné části předpisů nebo i podtržené celé předpisy </w:t>
      </w:r>
      <w:r>
        <w:rPr>
          <w:i/>
        </w:rPr>
        <w:t>(níže uvedený podtržený text)</w:t>
      </w:r>
      <w:r>
        <w:t>, se použijí pouze pro tzv. “vstupní” školení BOZP, tedy školení prováděné při nástupu zaměstnanců do zaměstnání</w:t>
      </w:r>
      <w:r w:rsidR="007F28DE">
        <w:t xml:space="preserve"> / funkce</w:t>
      </w:r>
      <w:r>
        <w:t>. V rámci periodického školení BOZP nemusí níže uvedený, podtržený text, tvořit obsah školení.</w:t>
      </w:r>
    </w:p>
    <w:p w14:paraId="27D85646" w14:textId="440B7593" w:rsidR="00EF086F" w:rsidRDefault="00EF086F" w:rsidP="006E0904">
      <w:pPr>
        <w:numPr>
          <w:ilvl w:val="0"/>
          <w:numId w:val="4"/>
        </w:numPr>
        <w:spacing w:line="276" w:lineRule="auto"/>
        <w:contextualSpacing/>
      </w:pPr>
      <w:r>
        <w:t xml:space="preserve">Pokud je u některého ustanovení, popř. předpisu, uvedeno informativně, je tím myšleno, že školitel podá pouze stručné informace o obsahu předpisu / části předpisu </w:t>
      </w:r>
      <w:r w:rsidR="007F28DE">
        <w:t xml:space="preserve">a jeho významu </w:t>
      </w:r>
      <w:r>
        <w:t>tak, aby si školený udělal představu o tom, co předpis / ustanovení předpisu řeší</w:t>
      </w:r>
      <w:r w:rsidR="00FE1939">
        <w:t xml:space="preserve"> a popisuje</w:t>
      </w:r>
      <w:r w:rsidR="007F28DE">
        <w:t xml:space="preserve"> a k čemu slouží</w:t>
      </w:r>
      <w:r>
        <w:t>.</w:t>
      </w:r>
      <w:r w:rsidR="007C46DD">
        <w:t xml:space="preserve"> Není zde nutný podrobný výklad a rozbor jednotlivých ustanovení.</w:t>
      </w:r>
    </w:p>
    <w:p w14:paraId="7FBF4700" w14:textId="34D924BC" w:rsidR="00D10232" w:rsidRDefault="00EF086F" w:rsidP="007F28DE">
      <w:pPr>
        <w:numPr>
          <w:ilvl w:val="0"/>
          <w:numId w:val="3"/>
        </w:numPr>
        <w:spacing w:after="160" w:line="276" w:lineRule="auto"/>
        <w:contextualSpacing/>
        <w:jc w:val="left"/>
      </w:pPr>
      <w:r>
        <w:t xml:space="preserve">Zkratka úz, na konci některých předpisů znamená, že tyto předpisy jsou myšleny v jejich účinném </w:t>
      </w:r>
      <w:r w:rsidR="007C46DD">
        <w:t>znění,</w:t>
      </w:r>
      <w:r>
        <w:t xml:space="preserve"> a to k datu provádění školení.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67681" w14:paraId="5D4F1A5E" w14:textId="77777777" w:rsidTr="007F28DE">
        <w:trPr>
          <w:cantSplit/>
        </w:trPr>
        <w:tc>
          <w:tcPr>
            <w:tcW w:w="9062" w:type="dxa"/>
          </w:tcPr>
          <w:p w14:paraId="31BDE6E1" w14:textId="15F9BB18" w:rsidR="00467681" w:rsidRDefault="00467681" w:rsidP="00467681">
            <w:pPr>
              <w:pStyle w:val="Nadpis2"/>
              <w:outlineLvl w:val="1"/>
            </w:pPr>
            <w:bookmarkStart w:id="2" w:name="_Toc39508681"/>
            <w:r>
              <w:t>Obecně závazné předpisy BOZP</w:t>
            </w:r>
            <w:bookmarkEnd w:id="2"/>
          </w:p>
        </w:tc>
      </w:tr>
      <w:tr w:rsidR="00467681" w14:paraId="2EDE334C" w14:textId="77777777" w:rsidTr="007F28DE">
        <w:trPr>
          <w:cantSplit/>
        </w:trPr>
        <w:tc>
          <w:tcPr>
            <w:tcW w:w="9062" w:type="dxa"/>
          </w:tcPr>
          <w:p w14:paraId="78943D83" w14:textId="5CE5B34D" w:rsidR="002970FC" w:rsidRPr="002970FC" w:rsidRDefault="001B164D" w:rsidP="002970FC">
            <w:pPr>
              <w:spacing w:line="276" w:lineRule="auto"/>
              <w:contextualSpacing/>
              <w:jc w:val="left"/>
            </w:pPr>
            <w:hyperlink r:id="rId10">
              <w:r w:rsidR="00467681" w:rsidRPr="00B20DCD">
                <w:rPr>
                  <w:color w:val="1155CC"/>
                  <w:u w:val="single"/>
                </w:rPr>
                <w:t>[O]</w:t>
              </w:r>
            </w:hyperlink>
            <w:r w:rsidR="00467681" w:rsidRPr="00B20DCD">
              <w:rPr>
                <w:color w:val="85200C"/>
              </w:rPr>
              <w:t xml:space="preserve"> </w:t>
            </w:r>
            <w:r w:rsidR="002970FC" w:rsidRPr="00C12103">
              <w:rPr>
                <w:b/>
                <w:bCs/>
                <w:color w:val="85200C"/>
              </w:rPr>
              <w:t>Směrnice Evropského parlamentu a rady 2009/148/ES</w:t>
            </w:r>
            <w:r w:rsidR="002970FC" w:rsidRPr="002970FC">
              <w:t>, ze dne 30. listopadu 2009 o ochraně</w:t>
            </w:r>
          </w:p>
          <w:p w14:paraId="03FA419C" w14:textId="0CC0BB06" w:rsidR="002970FC" w:rsidRPr="002970FC" w:rsidRDefault="002970FC" w:rsidP="002970FC">
            <w:pPr>
              <w:spacing w:line="276" w:lineRule="auto"/>
              <w:contextualSpacing/>
              <w:jc w:val="left"/>
            </w:pPr>
            <w:r w:rsidRPr="002970FC">
              <w:t>zaměstnanců před riziky spojenými s expozicí azbestu při práci, v platném znění</w:t>
            </w:r>
          </w:p>
          <w:p w14:paraId="41AD4288" w14:textId="5DFE0336" w:rsidR="00467681" w:rsidRDefault="002970FC" w:rsidP="00C12103">
            <w:pPr>
              <w:pStyle w:val="Odstavecseseznamem"/>
              <w:numPr>
                <w:ilvl w:val="0"/>
                <w:numId w:val="20"/>
              </w:numPr>
              <w:spacing w:line="276" w:lineRule="auto"/>
              <w:jc w:val="left"/>
            </w:pPr>
            <w:r>
              <w:t>Ú</w:t>
            </w:r>
            <w:r w:rsidRPr="002970FC">
              <w:t>vod a články 1 až 26, příloha 1</w:t>
            </w:r>
            <w:r>
              <w:t>.</w:t>
            </w:r>
          </w:p>
        </w:tc>
      </w:tr>
      <w:tr w:rsidR="00467681" w14:paraId="71761D2E" w14:textId="77777777" w:rsidTr="007F28DE">
        <w:trPr>
          <w:cantSplit/>
        </w:trPr>
        <w:tc>
          <w:tcPr>
            <w:tcW w:w="9062" w:type="dxa"/>
          </w:tcPr>
          <w:p w14:paraId="0822CE45" w14:textId="5B4164DF" w:rsidR="002970FC" w:rsidRDefault="002970FC" w:rsidP="002970FC">
            <w:hyperlink r:id="rId11">
              <w:r w:rsidRPr="00B20DCD">
                <w:rPr>
                  <w:color w:val="1155CC"/>
                  <w:u w:val="single"/>
                </w:rPr>
                <w:t>[O]</w:t>
              </w:r>
            </w:hyperlink>
            <w:r w:rsidRPr="00B20DCD">
              <w:rPr>
                <w:color w:val="85200C"/>
              </w:rPr>
              <w:t xml:space="preserve"> </w:t>
            </w:r>
            <w:r w:rsidRPr="00C12103">
              <w:rPr>
                <w:b/>
                <w:bCs/>
                <w:color w:val="833C0B" w:themeColor="accent2" w:themeShade="80"/>
              </w:rPr>
              <w:t>Zákon č. 309/2006 Sb</w:t>
            </w:r>
            <w:r w:rsidRPr="00C12103">
              <w:rPr>
                <w:color w:val="833C0B" w:themeColor="accent2" w:themeShade="80"/>
              </w:rPr>
              <w:t>.</w:t>
            </w:r>
            <w:r w:rsidRPr="002970FC">
              <w:t>,</w:t>
            </w:r>
            <w:r w:rsidRPr="00F341A8">
              <w:t xml:space="preserve"> o zajištění dalších podmínek BOZP, </w:t>
            </w:r>
            <w:r>
              <w:t>úz</w:t>
            </w:r>
            <w:r w:rsidRPr="00F341A8">
              <w:t>:</w:t>
            </w:r>
          </w:p>
          <w:p w14:paraId="1D62C6EC" w14:textId="5F8658A5" w:rsidR="00467681" w:rsidRDefault="002970FC" w:rsidP="00C12103">
            <w:pPr>
              <w:pStyle w:val="Odstavecseseznamem"/>
              <w:numPr>
                <w:ilvl w:val="0"/>
                <w:numId w:val="19"/>
              </w:numPr>
            </w:pPr>
            <w:r w:rsidRPr="002970FC">
              <w:t>§ 7</w:t>
            </w:r>
            <w:r w:rsidRPr="00F341A8">
              <w:t xml:space="preserve"> / odst. (1), (3), (4), (5), (6), (7)</w:t>
            </w:r>
            <w:r>
              <w:t>.</w:t>
            </w:r>
          </w:p>
        </w:tc>
      </w:tr>
      <w:tr w:rsidR="00D87A83" w14:paraId="4E3440B0" w14:textId="77777777" w:rsidTr="007F28DE">
        <w:trPr>
          <w:cantSplit/>
        </w:trPr>
        <w:tc>
          <w:tcPr>
            <w:tcW w:w="9062" w:type="dxa"/>
          </w:tcPr>
          <w:p w14:paraId="187A6537" w14:textId="77777777" w:rsidR="00C12103" w:rsidRDefault="00C12103" w:rsidP="00C12103">
            <w:hyperlink r:id="rId12">
              <w:r w:rsidRPr="00B20DCD">
                <w:rPr>
                  <w:color w:val="1155CC"/>
                  <w:u w:val="single"/>
                </w:rPr>
                <w:t>[O]</w:t>
              </w:r>
            </w:hyperlink>
            <w:r w:rsidRPr="00B20DCD">
              <w:rPr>
                <w:color w:val="85200C"/>
              </w:rPr>
              <w:t xml:space="preserve"> </w:t>
            </w:r>
            <w:r w:rsidRPr="00C12103">
              <w:rPr>
                <w:b/>
                <w:bCs/>
                <w:color w:val="833C0B" w:themeColor="accent2" w:themeShade="80"/>
              </w:rPr>
              <w:t>Zákon č. 258/2000 Sb</w:t>
            </w:r>
            <w:r w:rsidRPr="00C12103">
              <w:rPr>
                <w:color w:val="833C0B" w:themeColor="accent2" w:themeShade="80"/>
              </w:rPr>
              <w:t>.</w:t>
            </w:r>
            <w:r w:rsidRPr="00C12103">
              <w:t>,</w:t>
            </w:r>
            <w:r w:rsidRPr="00F341A8">
              <w:t xml:space="preserve"> o ochraně veřejného zdraví, </w:t>
            </w:r>
            <w:r>
              <w:t>úz</w:t>
            </w:r>
            <w:r w:rsidRPr="00F341A8">
              <w:t>:</w:t>
            </w:r>
            <w:r>
              <w:t xml:space="preserve"> </w:t>
            </w:r>
          </w:p>
          <w:p w14:paraId="2A858427" w14:textId="77777777" w:rsidR="00C12103" w:rsidRDefault="00C12103" w:rsidP="00C12103">
            <w:pPr>
              <w:pStyle w:val="Odstavecseseznamem"/>
              <w:numPr>
                <w:ilvl w:val="0"/>
                <w:numId w:val="18"/>
              </w:numPr>
            </w:pPr>
            <w:r w:rsidRPr="00C12103">
              <w:t>§ 40</w:t>
            </w:r>
            <w:r w:rsidRPr="00F341A8">
              <w:t xml:space="preserve"> Evidence rizikových prací;</w:t>
            </w:r>
          </w:p>
          <w:p w14:paraId="5B4A588F" w14:textId="45640E4D" w:rsidR="00D87A83" w:rsidRDefault="00C12103" w:rsidP="00C12103">
            <w:pPr>
              <w:pStyle w:val="Odstavecseseznamem"/>
              <w:numPr>
                <w:ilvl w:val="0"/>
                <w:numId w:val="18"/>
              </w:numPr>
            </w:pPr>
            <w:r w:rsidRPr="00C12103">
              <w:t>§ 41</w:t>
            </w:r>
            <w:r w:rsidRPr="00F341A8">
              <w:t xml:space="preserve"> Používání biologických činitelů a azbestu</w:t>
            </w:r>
            <w:r>
              <w:t>.</w:t>
            </w:r>
          </w:p>
        </w:tc>
      </w:tr>
      <w:tr w:rsidR="00467681" w14:paraId="04F5BB2B" w14:textId="77777777" w:rsidTr="007F28DE">
        <w:trPr>
          <w:cantSplit/>
        </w:trPr>
        <w:tc>
          <w:tcPr>
            <w:tcW w:w="9062" w:type="dxa"/>
          </w:tcPr>
          <w:p w14:paraId="28E23001" w14:textId="5E076941" w:rsidR="00C12103" w:rsidRDefault="00C12103" w:rsidP="00C12103">
            <w:hyperlink r:id="rId13">
              <w:r w:rsidRPr="00B20DCD">
                <w:rPr>
                  <w:color w:val="1155CC"/>
                  <w:u w:val="single"/>
                </w:rPr>
                <w:t>[O]</w:t>
              </w:r>
            </w:hyperlink>
            <w:r w:rsidRPr="00B20DCD">
              <w:rPr>
                <w:color w:val="85200C"/>
              </w:rPr>
              <w:t xml:space="preserve"> </w:t>
            </w:r>
            <w:r w:rsidRPr="00C12103">
              <w:rPr>
                <w:b/>
                <w:bCs/>
                <w:color w:val="7030A0"/>
              </w:rPr>
              <w:t>Nařízení vlády č. 361/2007 Sb.</w:t>
            </w:r>
            <w:r w:rsidRPr="00C12103">
              <w:t>,</w:t>
            </w:r>
            <w:r w:rsidRPr="00F341A8">
              <w:t xml:space="preserve"> kterým se stanoví podmínky ochrany zdraví při práci, </w:t>
            </w:r>
            <w:r>
              <w:t>úz</w:t>
            </w:r>
            <w:r w:rsidRPr="00F341A8">
              <w:t>:</w:t>
            </w:r>
          </w:p>
          <w:p w14:paraId="08584D11" w14:textId="42ACA96E" w:rsidR="00C12103" w:rsidRDefault="00C12103" w:rsidP="00C12103">
            <w:pPr>
              <w:pStyle w:val="Odstavecseseznamem"/>
              <w:numPr>
                <w:ilvl w:val="0"/>
                <w:numId w:val="17"/>
              </w:numPr>
            </w:pPr>
            <w:r w:rsidRPr="00C12103">
              <w:t xml:space="preserve">§ 19 </w:t>
            </w:r>
            <w:r w:rsidRPr="00F341A8">
              <w:t>Zjišťování a hodnocení expozice azbestu;</w:t>
            </w:r>
          </w:p>
          <w:p w14:paraId="3E912937" w14:textId="43BB95AA" w:rsidR="00C12103" w:rsidRDefault="00C12103" w:rsidP="00C12103">
            <w:pPr>
              <w:pStyle w:val="Odstavecseseznamem"/>
              <w:numPr>
                <w:ilvl w:val="0"/>
                <w:numId w:val="17"/>
              </w:numPr>
            </w:pPr>
            <w:r w:rsidRPr="00C12103">
              <w:t>§ 20</w:t>
            </w:r>
            <w:r w:rsidRPr="00F341A8">
              <w:t xml:space="preserve"> Hodnocení zdravotního rizika;</w:t>
            </w:r>
          </w:p>
          <w:p w14:paraId="45A27881" w14:textId="030F5B6C" w:rsidR="00467681" w:rsidRDefault="00C12103" w:rsidP="00C12103">
            <w:pPr>
              <w:pStyle w:val="Odstavecseseznamem"/>
              <w:numPr>
                <w:ilvl w:val="0"/>
                <w:numId w:val="17"/>
              </w:numPr>
            </w:pPr>
            <w:r w:rsidRPr="00C12103">
              <w:t>§ 21</w:t>
            </w:r>
            <w:r w:rsidRPr="00F341A8">
              <w:t xml:space="preserve"> Minimální opatření k ochraně zdraví, bližší hygienické požadavky na pracoviště, bližší požadavky na pracovní postupy, obsah školení</w:t>
            </w:r>
            <w:r>
              <w:t>.</w:t>
            </w:r>
          </w:p>
        </w:tc>
      </w:tr>
      <w:tr w:rsidR="00467681" w14:paraId="1C70C10B" w14:textId="77777777" w:rsidTr="007F28DE">
        <w:trPr>
          <w:cantSplit/>
        </w:trPr>
        <w:tc>
          <w:tcPr>
            <w:tcW w:w="9062" w:type="dxa"/>
          </w:tcPr>
          <w:p w14:paraId="044B10C0" w14:textId="4C4E2A43" w:rsidR="00C12103" w:rsidRDefault="00C12103" w:rsidP="00C12103">
            <w:hyperlink r:id="rId14">
              <w:r w:rsidRPr="00B20DCD">
                <w:rPr>
                  <w:color w:val="1155CC"/>
                  <w:u w:val="single"/>
                </w:rPr>
                <w:t>[O]</w:t>
              </w:r>
            </w:hyperlink>
            <w:r w:rsidRPr="00B20DCD">
              <w:rPr>
                <w:color w:val="85200C"/>
              </w:rPr>
              <w:t xml:space="preserve"> </w:t>
            </w:r>
            <w:r w:rsidRPr="00C12103">
              <w:rPr>
                <w:b/>
                <w:bCs/>
                <w:color w:val="538135" w:themeColor="accent6" w:themeShade="BF"/>
              </w:rPr>
              <w:t>Vyhláška č. 432/2003 Sb.</w:t>
            </w:r>
            <w:r w:rsidRPr="00C12103">
              <w:t>,</w:t>
            </w:r>
            <w:r w:rsidRPr="00F341A8">
              <w:t xml:space="preserve"> kterou se stanoví podmínky pro zařazování prací do kategorií, limitní hodnoty ukazatelů biologických expozičních testů, podmínky odběru biologického materiálu pro provádění biologických expozičních testů a náležitosti hlášení prací s azbestem a biologickými činiteli, </w:t>
            </w:r>
            <w:r>
              <w:t>úz</w:t>
            </w:r>
            <w:r w:rsidRPr="00F341A8">
              <w:t>:</w:t>
            </w:r>
          </w:p>
          <w:p w14:paraId="621A0CFA" w14:textId="44301157" w:rsidR="00467681" w:rsidRDefault="00C12103" w:rsidP="00C12103">
            <w:pPr>
              <w:pStyle w:val="Odstavecseseznamem"/>
              <w:numPr>
                <w:ilvl w:val="0"/>
                <w:numId w:val="16"/>
              </w:numPr>
            </w:pPr>
            <w:r w:rsidRPr="00C12103">
              <w:t>§ 5</w:t>
            </w:r>
            <w:r w:rsidRPr="00F341A8">
              <w:t xml:space="preserve"> Náležitosti hlášení prací s azbestem a jiných prací, které mohou být zdrojem expozice azbestu.</w:t>
            </w:r>
          </w:p>
        </w:tc>
      </w:tr>
      <w:tr w:rsidR="00467681" w14:paraId="23AC64D4" w14:textId="77777777" w:rsidTr="007F28DE">
        <w:trPr>
          <w:cantSplit/>
        </w:trPr>
        <w:tc>
          <w:tcPr>
            <w:tcW w:w="9062" w:type="dxa"/>
          </w:tcPr>
          <w:p w14:paraId="0051BB12" w14:textId="7ACCAE3B" w:rsidR="00C12103" w:rsidRDefault="00C12103" w:rsidP="00C12103">
            <w:hyperlink r:id="rId15">
              <w:r w:rsidRPr="00B20DCD">
                <w:rPr>
                  <w:color w:val="1155CC"/>
                  <w:u w:val="single"/>
                </w:rPr>
                <w:t>[O]</w:t>
              </w:r>
            </w:hyperlink>
            <w:r w:rsidRPr="00B20DCD">
              <w:rPr>
                <w:color w:val="85200C"/>
              </w:rPr>
              <w:t xml:space="preserve"> </w:t>
            </w:r>
            <w:r w:rsidRPr="00C12103">
              <w:rPr>
                <w:b/>
                <w:bCs/>
                <w:color w:val="538135" w:themeColor="accent6" w:themeShade="BF"/>
              </w:rPr>
              <w:t>Vyhláška č. 394/2006 Sb.</w:t>
            </w:r>
            <w:r w:rsidRPr="00C12103">
              <w:t>,</w:t>
            </w:r>
            <w:r w:rsidRPr="00F341A8">
              <w:t xml:space="preserve"> kterou se stanoví práce s ojedinělou a krátkodobou expozicí azbestu a postup při určení ojedinělé a krátkodobé expozice těchto prací, </w:t>
            </w:r>
            <w:r>
              <w:t>úz</w:t>
            </w:r>
            <w:r w:rsidRPr="00F341A8">
              <w:t>:</w:t>
            </w:r>
          </w:p>
          <w:p w14:paraId="2CAA7DE4" w14:textId="48925F59" w:rsidR="00467681" w:rsidRDefault="00C12103" w:rsidP="00C12103">
            <w:pPr>
              <w:pStyle w:val="Odstavecseseznamem"/>
              <w:numPr>
                <w:ilvl w:val="0"/>
                <w:numId w:val="16"/>
              </w:numPr>
            </w:pPr>
            <w:r w:rsidRPr="00F341A8">
              <w:t xml:space="preserve">§§ </w:t>
            </w:r>
            <w:r w:rsidRPr="00C12103">
              <w:t>1</w:t>
            </w:r>
            <w:r w:rsidRPr="00F341A8">
              <w:t xml:space="preserve">, </w:t>
            </w:r>
            <w:r w:rsidRPr="00C12103">
              <w:t>2</w:t>
            </w:r>
            <w:r w:rsidRPr="00F341A8">
              <w:t xml:space="preserve">, </w:t>
            </w:r>
            <w:r w:rsidRPr="00C12103">
              <w:t>3</w:t>
            </w:r>
            <w:r w:rsidRPr="00F341A8">
              <w:t>.</w:t>
            </w:r>
          </w:p>
        </w:tc>
      </w:tr>
      <w:tr w:rsidR="00467681" w14:paraId="24F65EEA" w14:textId="77777777" w:rsidTr="007F28DE">
        <w:trPr>
          <w:cantSplit/>
        </w:trPr>
        <w:tc>
          <w:tcPr>
            <w:tcW w:w="9062" w:type="dxa"/>
          </w:tcPr>
          <w:p w14:paraId="3FE4E619" w14:textId="2DC8C6E4" w:rsidR="00C12103" w:rsidRDefault="00C12103" w:rsidP="00C12103">
            <w:hyperlink r:id="rId16" w:anchor="p1">
              <w:r w:rsidRPr="00B20DCD">
                <w:rPr>
                  <w:color w:val="1155CC"/>
                  <w:u w:val="single"/>
                </w:rPr>
                <w:t>[O]</w:t>
              </w:r>
            </w:hyperlink>
            <w:r w:rsidRPr="00B20DCD">
              <w:rPr>
                <w:color w:val="85200C"/>
              </w:rPr>
              <w:t xml:space="preserve"> </w:t>
            </w:r>
            <w:r w:rsidRPr="00C12103">
              <w:rPr>
                <w:b/>
                <w:bCs/>
                <w:color w:val="833C0B" w:themeColor="accent2" w:themeShade="80"/>
              </w:rPr>
              <w:t>Zákon č. 183/2006 Sb.</w:t>
            </w:r>
            <w:r w:rsidRPr="00C12103">
              <w:t>,</w:t>
            </w:r>
            <w:r w:rsidRPr="00F341A8">
              <w:t xml:space="preserve"> o územním plánování a stavebním řádu (stavební zákon), </w:t>
            </w:r>
            <w:r>
              <w:t>úz</w:t>
            </w:r>
          </w:p>
          <w:p w14:paraId="20FD0004" w14:textId="19AA0E6C" w:rsidR="00467681" w:rsidRDefault="00C12103" w:rsidP="00C12103">
            <w:pPr>
              <w:pStyle w:val="Odstavecseseznamem"/>
              <w:numPr>
                <w:ilvl w:val="0"/>
                <w:numId w:val="16"/>
              </w:numPr>
            </w:pPr>
            <w:r w:rsidRPr="00C12103">
              <w:t>§ 128</w:t>
            </w:r>
            <w:r w:rsidRPr="00F341A8">
              <w:t xml:space="preserve"> / odst. (5), (6).</w:t>
            </w:r>
          </w:p>
        </w:tc>
      </w:tr>
      <w:tr w:rsidR="00467681" w14:paraId="224AED29" w14:textId="77777777" w:rsidTr="007F28DE">
        <w:trPr>
          <w:cantSplit/>
        </w:trPr>
        <w:tc>
          <w:tcPr>
            <w:tcW w:w="9062" w:type="dxa"/>
          </w:tcPr>
          <w:p w14:paraId="5369749E" w14:textId="60CD47F4" w:rsidR="00072AB8" w:rsidRDefault="00072AB8" w:rsidP="00072AB8">
            <w:hyperlink r:id="rId17">
              <w:r w:rsidRPr="00B20DCD">
                <w:rPr>
                  <w:color w:val="1155CC"/>
                  <w:u w:val="single"/>
                </w:rPr>
                <w:t>[O]</w:t>
              </w:r>
            </w:hyperlink>
            <w:r w:rsidRPr="00B20DCD">
              <w:rPr>
                <w:color w:val="85200C"/>
              </w:rPr>
              <w:t xml:space="preserve"> </w:t>
            </w:r>
            <w:r w:rsidRPr="00072AB8">
              <w:rPr>
                <w:b/>
                <w:bCs/>
                <w:color w:val="833C0B" w:themeColor="accent2" w:themeShade="80"/>
              </w:rPr>
              <w:t>Zákon č. 185/2001 Sb.</w:t>
            </w:r>
            <w:r w:rsidRPr="00072AB8">
              <w:t>,</w:t>
            </w:r>
            <w:r w:rsidRPr="00F341A8">
              <w:t xml:space="preserve"> o odpadech, </w:t>
            </w:r>
            <w:r>
              <w:t>úz</w:t>
            </w:r>
            <w:r w:rsidRPr="00F341A8">
              <w:t>:</w:t>
            </w:r>
          </w:p>
          <w:p w14:paraId="7E4B1AAA" w14:textId="109175D6" w:rsidR="00467681" w:rsidRDefault="00072AB8" w:rsidP="00072AB8">
            <w:pPr>
              <w:pStyle w:val="Odstavecseseznamem"/>
              <w:numPr>
                <w:ilvl w:val="0"/>
                <w:numId w:val="16"/>
              </w:numPr>
            </w:pPr>
            <w:r w:rsidRPr="00072AB8">
              <w:t xml:space="preserve">§ 35 </w:t>
            </w:r>
            <w:r w:rsidRPr="00F341A8">
              <w:t>Povinnosti při nakládání s odpady z</w:t>
            </w:r>
            <w:r>
              <w:t> </w:t>
            </w:r>
            <w:r w:rsidRPr="00F341A8">
              <w:t>azbestu</w:t>
            </w:r>
            <w:r>
              <w:t>.</w:t>
            </w:r>
          </w:p>
        </w:tc>
      </w:tr>
      <w:tr w:rsidR="00467681" w14:paraId="2A2E9779" w14:textId="77777777" w:rsidTr="007F28DE">
        <w:trPr>
          <w:cantSplit/>
        </w:trPr>
        <w:tc>
          <w:tcPr>
            <w:tcW w:w="9062" w:type="dxa"/>
          </w:tcPr>
          <w:p w14:paraId="7B234DD3" w14:textId="14EDC2EE" w:rsidR="00072AB8" w:rsidRDefault="00072AB8" w:rsidP="00072AB8">
            <w:hyperlink r:id="rId18" w:anchor="p1">
              <w:r w:rsidRPr="00B20DCD">
                <w:rPr>
                  <w:color w:val="1155CC"/>
                  <w:u w:val="single"/>
                </w:rPr>
                <w:t>[O]</w:t>
              </w:r>
            </w:hyperlink>
            <w:r w:rsidRPr="00B20DCD">
              <w:rPr>
                <w:color w:val="85200C"/>
              </w:rPr>
              <w:t xml:space="preserve"> </w:t>
            </w:r>
            <w:r w:rsidRPr="00072AB8">
              <w:rPr>
                <w:b/>
                <w:bCs/>
                <w:color w:val="538135" w:themeColor="accent6" w:themeShade="BF"/>
              </w:rPr>
              <w:t>Vyhláška č. 294/2005 Sb.</w:t>
            </w:r>
            <w:r w:rsidRPr="00072AB8">
              <w:t>,</w:t>
            </w:r>
            <w:r w:rsidRPr="00F341A8">
              <w:t xml:space="preserve"> o podmínkách ukládání odpadků na skládky a jejich využívání na povrchu terénu, </w:t>
            </w:r>
            <w:r>
              <w:t>úz</w:t>
            </w:r>
            <w:r w:rsidRPr="00F341A8">
              <w:t>:</w:t>
            </w:r>
          </w:p>
          <w:p w14:paraId="17DD91C9" w14:textId="297D4662" w:rsidR="00467681" w:rsidRDefault="00072AB8" w:rsidP="00072AB8">
            <w:pPr>
              <w:pStyle w:val="Odstavecseseznamem"/>
              <w:numPr>
                <w:ilvl w:val="0"/>
                <w:numId w:val="16"/>
              </w:numPr>
            </w:pPr>
            <w:r w:rsidRPr="00072AB8">
              <w:t>§ 7</w:t>
            </w:r>
            <w:r w:rsidRPr="00F341A8">
              <w:t xml:space="preserve"> Technické požadavky na ukládání odpadů z azbestu na skládky.</w:t>
            </w:r>
          </w:p>
        </w:tc>
      </w:tr>
      <w:tr w:rsidR="00467681" w14:paraId="522E1432" w14:textId="77777777" w:rsidTr="007F28DE">
        <w:trPr>
          <w:cantSplit/>
        </w:trPr>
        <w:tc>
          <w:tcPr>
            <w:tcW w:w="9062" w:type="dxa"/>
          </w:tcPr>
          <w:p w14:paraId="741534D3" w14:textId="37E8519F" w:rsidR="00072AB8" w:rsidRDefault="00072AB8" w:rsidP="00072AB8">
            <w:hyperlink r:id="rId19" w:anchor="p1">
              <w:r w:rsidRPr="00B20DCD">
                <w:rPr>
                  <w:color w:val="1155CC"/>
                  <w:u w:val="single"/>
                </w:rPr>
                <w:t>[O]</w:t>
              </w:r>
            </w:hyperlink>
            <w:r w:rsidRPr="00B20DCD">
              <w:rPr>
                <w:color w:val="85200C"/>
              </w:rPr>
              <w:t xml:space="preserve"> </w:t>
            </w:r>
            <w:r w:rsidRPr="00072AB8">
              <w:rPr>
                <w:b/>
                <w:bCs/>
                <w:color w:val="7030A0"/>
              </w:rPr>
              <w:t>Nařízení vlády č. 290/1995 Sb.</w:t>
            </w:r>
            <w:r w:rsidRPr="00F341A8">
              <w:t xml:space="preserve">, kterým se stanoví seznam nemocí z povolání, </w:t>
            </w:r>
            <w:r>
              <w:t>úz</w:t>
            </w:r>
            <w:r w:rsidRPr="00F341A8">
              <w:t>,</w:t>
            </w:r>
          </w:p>
          <w:p w14:paraId="16EB0BBD" w14:textId="471E1581" w:rsidR="00467681" w:rsidRDefault="00072AB8" w:rsidP="00072AB8">
            <w:pPr>
              <w:pStyle w:val="Odstavecseseznamem"/>
              <w:numPr>
                <w:ilvl w:val="0"/>
                <w:numId w:val="16"/>
              </w:numPr>
            </w:pPr>
            <w:r w:rsidRPr="00072AB8">
              <w:t>Příloha</w:t>
            </w:r>
            <w:r w:rsidRPr="00F341A8">
              <w:t>, kapitola III, položka 2.</w:t>
            </w:r>
          </w:p>
        </w:tc>
      </w:tr>
      <w:tr w:rsidR="00D160BE" w14:paraId="130F581C" w14:textId="77777777" w:rsidTr="007F28DE">
        <w:trPr>
          <w:cantSplit/>
        </w:trPr>
        <w:tc>
          <w:tcPr>
            <w:tcW w:w="9062" w:type="dxa"/>
          </w:tcPr>
          <w:p w14:paraId="25B45AE2" w14:textId="6300E5D1" w:rsidR="00D160BE" w:rsidRDefault="00D160BE" w:rsidP="00072AB8">
            <w:hyperlink r:id="rId20" w:history="1">
              <w:r w:rsidRPr="00D160BE">
                <w:rPr>
                  <w:rStyle w:val="Hypertextovodkaz"/>
                </w:rPr>
                <w:t>saw_10a10</w:t>
              </w:r>
            </w:hyperlink>
            <w:r>
              <w:t xml:space="preserve">: </w:t>
            </w:r>
            <w:r w:rsidRPr="00D160BE">
              <w:rPr>
                <w:b/>
                <w:bCs/>
                <w:color w:val="C45911" w:themeColor="accent2" w:themeShade="BF"/>
              </w:rPr>
              <w:t>Místní provozní bezpečnostní předpis</w:t>
            </w:r>
            <w:r>
              <w:t>: Zásady likvidace azbestu a materiálů obsahujících azbest</w:t>
            </w:r>
          </w:p>
        </w:tc>
      </w:tr>
      <w:tr w:rsidR="00C36308" w14:paraId="60D329C2" w14:textId="77777777" w:rsidTr="007F28DE">
        <w:trPr>
          <w:cantSplit/>
        </w:trPr>
        <w:tc>
          <w:tcPr>
            <w:tcW w:w="9062" w:type="dxa"/>
          </w:tcPr>
          <w:p w14:paraId="5E1B853C" w14:textId="06AE421B" w:rsidR="00C36308" w:rsidRDefault="00C36308" w:rsidP="00C36308">
            <w:pPr>
              <w:pStyle w:val="Nadpis2"/>
              <w:outlineLvl w:val="1"/>
            </w:pPr>
            <w:bookmarkStart w:id="3" w:name="_Toc453572653"/>
            <w:bookmarkStart w:id="4" w:name="_Toc39508682"/>
            <w:r>
              <w:lastRenderedPageBreak/>
              <w:t>Další poskytnuté informace</w:t>
            </w:r>
            <w:bookmarkEnd w:id="3"/>
            <w:bookmarkEnd w:id="4"/>
          </w:p>
        </w:tc>
      </w:tr>
      <w:tr w:rsidR="00C36308" w14:paraId="44807B64" w14:textId="77777777" w:rsidTr="007F28DE">
        <w:trPr>
          <w:cantSplit/>
        </w:trPr>
        <w:tc>
          <w:tcPr>
            <w:tcW w:w="9062" w:type="dxa"/>
          </w:tcPr>
          <w:p w14:paraId="5DC57AD0" w14:textId="075C6D6D" w:rsidR="00C36308" w:rsidRPr="006A1EDE" w:rsidRDefault="00C36308" w:rsidP="00C36308">
            <w:pPr>
              <w:spacing w:line="276" w:lineRule="auto"/>
              <w:rPr>
                <w:b/>
              </w:rPr>
            </w:pPr>
            <w:r w:rsidRPr="006A1EDE">
              <w:rPr>
                <w:b/>
              </w:rPr>
              <w:t>Poskytovatel pracovnělékařských služeb zaměstnavatele:</w:t>
            </w:r>
          </w:p>
          <w:p w14:paraId="49A47099" w14:textId="32BCC315" w:rsidR="00C36308" w:rsidRDefault="00C36308" w:rsidP="00C36308">
            <w:pPr>
              <w:spacing w:line="276" w:lineRule="auto"/>
            </w:pPr>
            <w:r>
              <w:t>o</w:t>
            </w:r>
            <w:r w:rsidRPr="00B20DCD">
              <w:t>bchodní název, adresa ordinace, ordinační hodiny, kontaktní informace, personální zastoupení.</w:t>
            </w:r>
          </w:p>
        </w:tc>
      </w:tr>
      <w:tr w:rsidR="00C36308" w14:paraId="129DC5C5" w14:textId="77777777" w:rsidTr="007F28DE">
        <w:trPr>
          <w:cantSplit/>
        </w:trPr>
        <w:tc>
          <w:tcPr>
            <w:tcW w:w="9062" w:type="dxa"/>
          </w:tcPr>
          <w:p w14:paraId="3ADF0F61" w14:textId="0D793F6D" w:rsidR="00C36308" w:rsidRPr="006A1EDE" w:rsidRDefault="00C36308" w:rsidP="00C36308">
            <w:pPr>
              <w:spacing w:line="276" w:lineRule="auto"/>
              <w:rPr>
                <w:b/>
              </w:rPr>
            </w:pPr>
            <w:r>
              <w:rPr>
                <w:b/>
              </w:rPr>
              <w:t>Kategorizace prací:</w:t>
            </w:r>
          </w:p>
          <w:p w14:paraId="3BAA62D1" w14:textId="0DD3D226" w:rsidR="00C36308" w:rsidRDefault="00C36308" w:rsidP="00C36308">
            <w:pPr>
              <w:spacing w:line="276" w:lineRule="auto"/>
            </w:pPr>
            <w:r>
              <w:t>k</w:t>
            </w:r>
            <w:r w:rsidRPr="00B20DCD">
              <w:t>ategorie práce školených, dle jednotlivých rizikových faktorů a výsledná kat</w:t>
            </w:r>
            <w:r>
              <w:t>egorie práce.</w:t>
            </w:r>
          </w:p>
        </w:tc>
      </w:tr>
      <w:tr w:rsidR="00C36308" w14:paraId="376BAF76" w14:textId="77777777" w:rsidTr="007F28DE">
        <w:trPr>
          <w:cantSplit/>
        </w:trPr>
        <w:tc>
          <w:tcPr>
            <w:tcW w:w="9062" w:type="dxa"/>
          </w:tcPr>
          <w:p w14:paraId="38745195" w14:textId="777F7EF8" w:rsidR="00C36308" w:rsidRPr="00C93905" w:rsidRDefault="00C36308" w:rsidP="00C36308">
            <w:pPr>
              <w:spacing w:line="276" w:lineRule="auto"/>
              <w:rPr>
                <w:b/>
              </w:rPr>
            </w:pPr>
            <w:r w:rsidRPr="00C93905">
              <w:rPr>
                <w:b/>
              </w:rPr>
              <w:t>Odborně způsobilá osoba k zajišťování úkolů prevence rizik v oblasti bezpečnosti a ochrany zdraví při práci:</w:t>
            </w:r>
          </w:p>
          <w:p w14:paraId="616A81A4" w14:textId="4DBE3E45" w:rsidR="00C36308" w:rsidRPr="00B20DCD" w:rsidRDefault="00C36308" w:rsidP="00C36308">
            <w:pPr>
              <w:spacing w:line="276" w:lineRule="auto"/>
            </w:pPr>
            <w:r>
              <w:t xml:space="preserve">Ing. Vít Hofman, IČ: 020 65 681, </w:t>
            </w:r>
            <w:hyperlink r:id="rId21" w:history="1">
              <w:r w:rsidR="00072AB8" w:rsidRPr="006A4CAC">
                <w:rPr>
                  <w:rStyle w:val="Hypertextovodkaz"/>
                </w:rPr>
                <w:t>vit.hofman@sawuh.cz</w:t>
              </w:r>
            </w:hyperlink>
            <w:r>
              <w:t>, +420 730 732 751</w:t>
            </w:r>
          </w:p>
          <w:p w14:paraId="7B98FE96" w14:textId="4DFC597A" w:rsidR="00C36308" w:rsidRDefault="00C36308" w:rsidP="00C36308">
            <w:pPr>
              <w:spacing w:line="276" w:lineRule="auto"/>
              <w:contextualSpacing/>
            </w:pPr>
            <w:r w:rsidRPr="00775BE7">
              <w:rPr>
                <w:color w:val="7030A0"/>
              </w:rPr>
              <w:t>saw_00d01</w:t>
            </w:r>
            <w:r w:rsidRPr="00B20DCD">
              <w:t>: Kopie osvědčení o odborné způsobilosti.</w:t>
            </w:r>
          </w:p>
        </w:tc>
      </w:tr>
      <w:tr w:rsidR="00C36308" w14:paraId="7C0FEA8A" w14:textId="77777777" w:rsidTr="007F28DE">
        <w:trPr>
          <w:cantSplit/>
        </w:trPr>
        <w:tc>
          <w:tcPr>
            <w:tcW w:w="9062" w:type="dxa"/>
          </w:tcPr>
          <w:p w14:paraId="0695B159" w14:textId="6FD23EE4" w:rsidR="00C36308" w:rsidRDefault="00C36308" w:rsidP="00C36308">
            <w:pPr>
              <w:spacing w:line="276" w:lineRule="auto"/>
              <w:rPr>
                <w:b/>
                <w:i/>
              </w:rPr>
            </w:pPr>
            <w:r>
              <w:rPr>
                <w:b/>
              </w:rPr>
              <w:t>Odbory a související</w:t>
            </w:r>
          </w:p>
          <w:p w14:paraId="3A161427" w14:textId="1D57996B" w:rsidR="00C36308" w:rsidRPr="00C93905" w:rsidRDefault="00C36308" w:rsidP="00C36308">
            <w:pPr>
              <w:spacing w:line="276" w:lineRule="auto"/>
            </w:pPr>
            <w:r>
              <w:t>Působí, nepůsobí. Kontakty, hlavní činnost, význam.</w:t>
            </w:r>
          </w:p>
        </w:tc>
      </w:tr>
      <w:tr w:rsidR="00D160BE" w14:paraId="7311C292" w14:textId="77777777" w:rsidTr="007F28DE">
        <w:trPr>
          <w:cantSplit/>
        </w:trPr>
        <w:tc>
          <w:tcPr>
            <w:tcW w:w="9062" w:type="dxa"/>
          </w:tcPr>
          <w:p w14:paraId="6FADE1D4" w14:textId="77777777" w:rsidR="00D160BE" w:rsidRPr="00D160BE" w:rsidRDefault="00D160BE" w:rsidP="00D160BE">
            <w:pPr>
              <w:spacing w:line="276" w:lineRule="auto"/>
              <w:rPr>
                <w:b/>
              </w:rPr>
            </w:pPr>
            <w:r w:rsidRPr="00D160BE">
              <w:rPr>
                <w:b/>
              </w:rPr>
              <w:t>Vlastnosti azbestu a jeho účinky na zdraví včetně součinného účinku kouření.</w:t>
            </w:r>
          </w:p>
          <w:p w14:paraId="28ABD60F" w14:textId="77777777" w:rsidR="00D160BE" w:rsidRDefault="00D160BE" w:rsidP="003E23E4">
            <w:pPr>
              <w:pStyle w:val="Odstavecseseznamem"/>
              <w:numPr>
                <w:ilvl w:val="0"/>
                <w:numId w:val="16"/>
              </w:numPr>
              <w:spacing w:line="276" w:lineRule="auto"/>
              <w:rPr>
                <w:bCs/>
              </w:rPr>
            </w:pPr>
            <w:r w:rsidRPr="00D160BE">
              <w:rPr>
                <w:bCs/>
              </w:rPr>
              <w:t>Materiály a předměty, které mohou obsahovat azbest.</w:t>
            </w:r>
          </w:p>
          <w:p w14:paraId="5D3C87A1" w14:textId="77777777" w:rsidR="00D160BE" w:rsidRDefault="00D160BE" w:rsidP="00FF73C0">
            <w:pPr>
              <w:pStyle w:val="Odstavecseseznamem"/>
              <w:numPr>
                <w:ilvl w:val="0"/>
                <w:numId w:val="16"/>
              </w:numPr>
              <w:spacing w:line="276" w:lineRule="auto"/>
              <w:rPr>
                <w:bCs/>
              </w:rPr>
            </w:pPr>
            <w:r w:rsidRPr="00D160BE">
              <w:rPr>
                <w:bCs/>
              </w:rPr>
              <w:t>Č</w:t>
            </w:r>
            <w:r w:rsidRPr="00D160BE">
              <w:rPr>
                <w:bCs/>
              </w:rPr>
              <w:t>innosti, u nichž je pravděpodobnost expozice azbestu.</w:t>
            </w:r>
          </w:p>
          <w:p w14:paraId="51046EC7" w14:textId="77777777" w:rsidR="00D160BE" w:rsidRDefault="00D160BE" w:rsidP="003B25E6">
            <w:pPr>
              <w:pStyle w:val="Odstavecseseznamem"/>
              <w:numPr>
                <w:ilvl w:val="0"/>
                <w:numId w:val="16"/>
              </w:numPr>
              <w:spacing w:line="276" w:lineRule="auto"/>
              <w:rPr>
                <w:bCs/>
              </w:rPr>
            </w:pPr>
            <w:r w:rsidRPr="00D160BE">
              <w:rPr>
                <w:bCs/>
              </w:rPr>
              <w:t>V</w:t>
            </w:r>
            <w:r w:rsidRPr="00D160BE">
              <w:rPr>
                <w:bCs/>
              </w:rPr>
              <w:t xml:space="preserve">ýznam kontrolních </w:t>
            </w:r>
            <w:proofErr w:type="gramStart"/>
            <w:r w:rsidRPr="00D160BE">
              <w:rPr>
                <w:bCs/>
              </w:rPr>
              <w:t>mechanizmů</w:t>
            </w:r>
            <w:proofErr w:type="gramEnd"/>
            <w:r w:rsidRPr="00D160BE">
              <w:rPr>
                <w:bCs/>
              </w:rPr>
              <w:t xml:space="preserve"> vedoucích k minimalizaci expozice azbestu.</w:t>
            </w:r>
          </w:p>
          <w:p w14:paraId="091A7633" w14:textId="77777777" w:rsidR="00D160BE" w:rsidRDefault="00D160BE" w:rsidP="003E49FA">
            <w:pPr>
              <w:pStyle w:val="Odstavecseseznamem"/>
              <w:numPr>
                <w:ilvl w:val="0"/>
                <w:numId w:val="16"/>
              </w:numPr>
              <w:spacing w:line="276" w:lineRule="auto"/>
              <w:rPr>
                <w:bCs/>
              </w:rPr>
            </w:pPr>
            <w:r w:rsidRPr="00D160BE">
              <w:rPr>
                <w:bCs/>
              </w:rPr>
              <w:t>Bezpečné pracovní postupy, ochranná opatření a kontrola jejich dodržování.</w:t>
            </w:r>
          </w:p>
          <w:p w14:paraId="3C8AD121" w14:textId="77777777" w:rsidR="00D160BE" w:rsidRDefault="00D160BE" w:rsidP="002025E2">
            <w:pPr>
              <w:pStyle w:val="Odstavecseseznamem"/>
              <w:numPr>
                <w:ilvl w:val="0"/>
                <w:numId w:val="16"/>
              </w:numPr>
              <w:spacing w:line="276" w:lineRule="auto"/>
              <w:rPr>
                <w:bCs/>
              </w:rPr>
            </w:pPr>
            <w:r w:rsidRPr="00D160BE">
              <w:rPr>
                <w:bCs/>
              </w:rPr>
              <w:t>Výběr vhodného OOPP k ochraně dýchacích cest včetně podmínek jeho používání.</w:t>
            </w:r>
          </w:p>
          <w:p w14:paraId="1F41C2BD" w14:textId="77777777" w:rsidR="00D160BE" w:rsidRDefault="00D160BE" w:rsidP="00A946F6">
            <w:pPr>
              <w:pStyle w:val="Odstavecseseznamem"/>
              <w:numPr>
                <w:ilvl w:val="0"/>
                <w:numId w:val="16"/>
              </w:numPr>
              <w:spacing w:line="276" w:lineRule="auto"/>
              <w:rPr>
                <w:bCs/>
              </w:rPr>
            </w:pPr>
            <w:r w:rsidRPr="00D160BE">
              <w:rPr>
                <w:bCs/>
              </w:rPr>
              <w:t>Ostatní stanovené OOPP, jejich použití, údržba.</w:t>
            </w:r>
          </w:p>
          <w:p w14:paraId="5F12E9B7" w14:textId="77777777" w:rsidR="00D160BE" w:rsidRDefault="00D160BE" w:rsidP="00901F93">
            <w:pPr>
              <w:pStyle w:val="Odstavecseseznamem"/>
              <w:numPr>
                <w:ilvl w:val="0"/>
                <w:numId w:val="16"/>
              </w:numPr>
              <w:spacing w:line="276" w:lineRule="auto"/>
              <w:rPr>
                <w:bCs/>
              </w:rPr>
            </w:pPr>
            <w:r w:rsidRPr="00D160BE">
              <w:rPr>
                <w:bCs/>
              </w:rPr>
              <w:t>Správné pracovní postupy při mimořádné události spojené s únikem azbestu nebo prachu z</w:t>
            </w:r>
            <w:r w:rsidRPr="00D160BE">
              <w:rPr>
                <w:bCs/>
              </w:rPr>
              <w:t> </w:t>
            </w:r>
            <w:r w:rsidRPr="00D160BE">
              <w:rPr>
                <w:bCs/>
              </w:rPr>
              <w:t>materiálu</w:t>
            </w:r>
            <w:r w:rsidRPr="00D160BE">
              <w:rPr>
                <w:bCs/>
              </w:rPr>
              <w:t xml:space="preserve"> </w:t>
            </w:r>
            <w:r w:rsidRPr="00D160BE">
              <w:rPr>
                <w:bCs/>
              </w:rPr>
              <w:t>obsahujícího azbest, pří údržbě nebo opravě.</w:t>
            </w:r>
          </w:p>
          <w:p w14:paraId="75855559" w14:textId="77777777" w:rsidR="00D160BE" w:rsidRDefault="00D160BE" w:rsidP="009F146D">
            <w:pPr>
              <w:pStyle w:val="Odstavecseseznamem"/>
              <w:numPr>
                <w:ilvl w:val="0"/>
                <w:numId w:val="16"/>
              </w:numPr>
              <w:spacing w:line="276" w:lineRule="auto"/>
              <w:rPr>
                <w:bCs/>
              </w:rPr>
            </w:pPr>
            <w:r w:rsidRPr="00D160BE">
              <w:rPr>
                <w:bCs/>
              </w:rPr>
              <w:t>Pracovní postupy při dekontaminaci prostor zasažených prachem obsahujícím azbest.</w:t>
            </w:r>
          </w:p>
          <w:p w14:paraId="1D310959" w14:textId="77777777" w:rsidR="00D160BE" w:rsidRDefault="00D160BE" w:rsidP="00D160BE">
            <w:pPr>
              <w:pStyle w:val="Odstavecseseznamem"/>
              <w:numPr>
                <w:ilvl w:val="0"/>
                <w:numId w:val="16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S</w:t>
            </w:r>
            <w:r w:rsidRPr="00D160BE">
              <w:rPr>
                <w:bCs/>
              </w:rPr>
              <w:t>právný postup ukládání a likvidace prachu obsahujícího azbest.</w:t>
            </w:r>
          </w:p>
          <w:p w14:paraId="12FC45E3" w14:textId="29F0FD45" w:rsidR="00D160BE" w:rsidRPr="00D160BE" w:rsidRDefault="00D160BE" w:rsidP="00D160BE">
            <w:pPr>
              <w:pStyle w:val="Odstavecseseznamem"/>
              <w:numPr>
                <w:ilvl w:val="0"/>
                <w:numId w:val="16"/>
              </w:numPr>
              <w:spacing w:line="276" w:lineRule="auto"/>
              <w:rPr>
                <w:bCs/>
              </w:rPr>
            </w:pPr>
            <w:r w:rsidRPr="00D160BE">
              <w:rPr>
                <w:bCs/>
              </w:rPr>
              <w:t>Rozsah pracovnělékařských služeb a prohlídek u exponovaného zaměstnance.</w:t>
            </w:r>
          </w:p>
        </w:tc>
      </w:tr>
      <w:tr w:rsidR="00C36308" w14:paraId="609DFC0E" w14:textId="77777777" w:rsidTr="007F28DE">
        <w:trPr>
          <w:cantSplit/>
        </w:trPr>
        <w:tc>
          <w:tcPr>
            <w:tcW w:w="9062" w:type="dxa"/>
          </w:tcPr>
          <w:p w14:paraId="7C30363F" w14:textId="667FF50C" w:rsidR="00C36308" w:rsidRPr="00C93905" w:rsidRDefault="00C36308" w:rsidP="00C36308">
            <w:pPr>
              <w:pStyle w:val="Nadpis3"/>
              <w:outlineLvl w:val="2"/>
            </w:pPr>
            <w:bookmarkStart w:id="5" w:name="_Toc39508683"/>
            <w:r>
              <w:t>Informace o rizicích a o přijatých opatřeních</w:t>
            </w:r>
            <w:bookmarkEnd w:id="5"/>
          </w:p>
        </w:tc>
      </w:tr>
      <w:tr w:rsidR="00C36308" w14:paraId="466DB49F" w14:textId="77777777" w:rsidTr="007F28DE">
        <w:trPr>
          <w:cantSplit/>
        </w:trPr>
        <w:tc>
          <w:tcPr>
            <w:tcW w:w="9062" w:type="dxa"/>
          </w:tcPr>
          <w:p w14:paraId="005B3786" w14:textId="0C3BCC27" w:rsidR="00C36308" w:rsidRPr="00C93905" w:rsidRDefault="00C36308" w:rsidP="00C36308">
            <w:pPr>
              <w:spacing w:line="276" w:lineRule="auto"/>
              <w:rPr>
                <w:b/>
              </w:rPr>
            </w:pPr>
            <w:r w:rsidRPr="0080223D">
              <w:t xml:space="preserve">Poskytnutí informací o rizicích </w:t>
            </w:r>
            <w:r>
              <w:t xml:space="preserve">souvisejících s výkonem </w:t>
            </w:r>
            <w:r w:rsidR="00D160BE">
              <w:t xml:space="preserve">prací, při nichž může dojít k expozici azbestu, </w:t>
            </w:r>
            <w:r w:rsidRPr="0080223D">
              <w:t>jejich vyhodnocení</w:t>
            </w:r>
            <w:r>
              <w:t>m a s přijatými opatřeními, proti působícím rizikům</w:t>
            </w:r>
            <w:r w:rsidRPr="0080223D">
              <w:t>.</w:t>
            </w:r>
          </w:p>
        </w:tc>
      </w:tr>
    </w:tbl>
    <w:p w14:paraId="0E233982" w14:textId="7911E392" w:rsidR="00A31919" w:rsidRDefault="00A31919" w:rsidP="007F28DE">
      <w:pPr>
        <w:spacing w:line="276" w:lineRule="auto"/>
        <w:contextualSpacing/>
      </w:pPr>
      <w:bookmarkStart w:id="6" w:name="h.ti5j5xjjlwl4" w:colFirst="0" w:colLast="0"/>
      <w:bookmarkStart w:id="7" w:name="h.etv6u0g2tydr" w:colFirst="0" w:colLast="0"/>
      <w:bookmarkEnd w:id="6"/>
      <w:bookmarkEnd w:id="7"/>
    </w:p>
    <w:sectPr w:rsidR="00A31919" w:rsidSect="00542C07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20B70" w14:textId="77777777" w:rsidR="00965882" w:rsidRDefault="00965882" w:rsidP="00B05CB9">
      <w:pPr>
        <w:spacing w:line="240" w:lineRule="auto"/>
      </w:pPr>
      <w:r>
        <w:separator/>
      </w:r>
    </w:p>
  </w:endnote>
  <w:endnote w:type="continuationSeparator" w:id="0">
    <w:p w14:paraId="299EEF47" w14:textId="77777777" w:rsidR="00965882" w:rsidRDefault="00965882" w:rsidP="00B05CB9">
      <w:pPr>
        <w:spacing w:line="240" w:lineRule="auto"/>
      </w:pPr>
      <w:r>
        <w:continuationSeparator/>
      </w:r>
    </w:p>
  </w:endnote>
  <w:endnote w:type="continuationNotice" w:id="1">
    <w:p w14:paraId="42366285" w14:textId="77777777" w:rsidR="00965882" w:rsidRDefault="0096588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1B164D" w14:paraId="01744D2B" w14:textId="77777777" w:rsidTr="001B164D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6181E9D5" w14:textId="77777777" w:rsidR="001B164D" w:rsidRDefault="001B164D" w:rsidP="00580BDA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8" w:name="_Hlk487353101"/>
          <w:bookmarkStart w:id="9" w:name="_Hlk487353100"/>
          <w:bookmarkStart w:id="10" w:name="_Hlk487353099"/>
          <w:bookmarkStart w:id="11" w:name="_Hlk482105600"/>
          <w:bookmarkStart w:id="12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4FF48737" w14:textId="77777777" w:rsidR="001B164D" w:rsidRDefault="001B164D" w:rsidP="00580BDA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72F425F7" w14:textId="77777777" w:rsidR="001B164D" w:rsidRDefault="001B164D" w:rsidP="00580BDA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1B615E88" w14:textId="77777777" w:rsidR="001B164D" w:rsidRDefault="001B164D" w:rsidP="00580BDA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1B164D" w14:paraId="26F100A9" w14:textId="77777777" w:rsidTr="001B164D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65C12237" w14:textId="77777777" w:rsidR="001B164D" w:rsidRDefault="001B164D" w:rsidP="00580BDA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21CFD480" wp14:editId="3D17E527">
                <wp:extent cx="647700" cy="209550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3D4A8FA5" w14:textId="77777777" w:rsidR="001B164D" w:rsidRDefault="001B164D" w:rsidP="00580BDA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70756EF3" w14:textId="77777777" w:rsidR="001B164D" w:rsidRDefault="001B164D" w:rsidP="00580BDA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642E6174" w14:textId="77777777" w:rsidR="001B164D" w:rsidRDefault="001B164D" w:rsidP="00580BDA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625D7EAC" w14:textId="77777777" w:rsidR="001B164D" w:rsidRDefault="001B164D" w:rsidP="00580BDA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37D17D07" w14:textId="77777777" w:rsidR="001B164D" w:rsidRDefault="001B164D" w:rsidP="00580BDA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7AB648A3" w14:textId="77777777" w:rsidR="001B164D" w:rsidRDefault="001B164D" w:rsidP="00580BDA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3E0D7FEA" w14:textId="493BEE4C" w:rsidR="001B164D" w:rsidRDefault="001B164D" w:rsidP="00580BDA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2020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8"/>
    <w:bookmarkEnd w:id="9"/>
    <w:bookmarkEnd w:id="10"/>
    <w:bookmarkEnd w:id="11"/>
    <w:bookmarkEnd w:id="12"/>
  </w:tbl>
  <w:p w14:paraId="0FFAB156" w14:textId="1B7403DF" w:rsidR="001B164D" w:rsidRPr="00580BDA" w:rsidRDefault="001B164D" w:rsidP="00580B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7A402" w14:textId="77777777" w:rsidR="00965882" w:rsidRDefault="00965882" w:rsidP="00B05CB9">
      <w:pPr>
        <w:spacing w:line="240" w:lineRule="auto"/>
      </w:pPr>
      <w:r>
        <w:separator/>
      </w:r>
    </w:p>
  </w:footnote>
  <w:footnote w:type="continuationSeparator" w:id="0">
    <w:p w14:paraId="4579B7CF" w14:textId="77777777" w:rsidR="00965882" w:rsidRDefault="00965882" w:rsidP="00B05CB9">
      <w:pPr>
        <w:spacing w:line="240" w:lineRule="auto"/>
      </w:pPr>
      <w:r>
        <w:continuationSeparator/>
      </w:r>
    </w:p>
  </w:footnote>
  <w:footnote w:type="continuationNotice" w:id="1">
    <w:p w14:paraId="6EA184DB" w14:textId="77777777" w:rsidR="00965882" w:rsidRDefault="0096588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253"/>
      <w:gridCol w:w="624"/>
      <w:gridCol w:w="2919"/>
    </w:tblGrid>
    <w:tr w:rsidR="001B164D" w:rsidRPr="007F28DE" w14:paraId="0EFBAD53" w14:textId="77777777" w:rsidTr="00542C07">
      <w:tc>
        <w:tcPr>
          <w:tcW w:w="1276" w:type="dxa"/>
        </w:tcPr>
        <w:p w14:paraId="1FA13862" w14:textId="35BA6E8E" w:rsidR="001B164D" w:rsidRPr="007F28DE" w:rsidRDefault="001B164D" w:rsidP="00580BDA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4C301FBE" wp14:editId="6D3E93E9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</w:tcPr>
        <w:p w14:paraId="3E589F3D" w14:textId="77777777" w:rsidR="001B164D" w:rsidRPr="00290B9A" w:rsidRDefault="001B164D" w:rsidP="00580BDA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68E1ABA4" w14:textId="77777777" w:rsidR="001B164D" w:rsidRPr="00290B9A" w:rsidRDefault="001B164D" w:rsidP="00580BDA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3482B388" w14:textId="77777777" w:rsidR="001B164D" w:rsidRPr="00290B9A" w:rsidRDefault="001B164D" w:rsidP="00580BDA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152E330A" w:rsidR="001B164D" w:rsidRPr="007F28DE" w:rsidRDefault="001B164D" w:rsidP="00580BDA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543" w:type="dxa"/>
          <w:gridSpan w:val="2"/>
        </w:tcPr>
        <w:p w14:paraId="09480294" w14:textId="0509BDE4" w:rsidR="001B164D" w:rsidRPr="007F28DE" w:rsidRDefault="001B164D" w:rsidP="00580BDA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7F28DE">
            <w:rPr>
              <w:color w:val="808080" w:themeColor="background1" w:themeShade="80"/>
              <w:sz w:val="16"/>
              <w:szCs w:val="16"/>
            </w:rPr>
            <w:t>Interní označení dokumentu: saw_07a0</w:t>
          </w:r>
          <w:r w:rsidR="00D160BE">
            <w:rPr>
              <w:color w:val="808080" w:themeColor="background1" w:themeShade="80"/>
              <w:sz w:val="16"/>
              <w:szCs w:val="16"/>
            </w:rPr>
            <w:t>5</w:t>
          </w:r>
          <w:r>
            <w:rPr>
              <w:color w:val="808080" w:themeColor="background1" w:themeShade="80"/>
              <w:sz w:val="16"/>
              <w:szCs w:val="16"/>
            </w:rPr>
            <w:t>.1</w:t>
          </w:r>
        </w:p>
        <w:p w14:paraId="2A9798D8" w14:textId="313A24E8" w:rsidR="001B164D" w:rsidRPr="007F28DE" w:rsidRDefault="001B164D" w:rsidP="00580BDA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7F28DE">
            <w:rPr>
              <w:color w:val="808080" w:themeColor="background1" w:themeShade="80"/>
              <w:sz w:val="16"/>
              <w:szCs w:val="16"/>
            </w:rPr>
            <w:t>Nadřazený dokument: saw_07</w:t>
          </w:r>
        </w:p>
        <w:p w14:paraId="14CF6F56" w14:textId="6B6FB595" w:rsidR="001B164D" w:rsidRPr="007F28DE" w:rsidRDefault="001B164D" w:rsidP="00580BDA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7F28DE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2017051301</w:t>
          </w:r>
        </w:p>
        <w:p w14:paraId="74EEFA0D" w14:textId="77777777" w:rsidR="001B164D" w:rsidRPr="007F28DE" w:rsidRDefault="001B164D" w:rsidP="00580BDA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</w:p>
      </w:tc>
    </w:tr>
    <w:tr w:rsidR="001B164D" w:rsidRPr="007F28DE" w14:paraId="04A2848D" w14:textId="77777777" w:rsidTr="002709CD">
      <w:tc>
        <w:tcPr>
          <w:tcW w:w="9072" w:type="dxa"/>
          <w:gridSpan w:val="4"/>
          <w:tcBorders>
            <w:bottom w:val="single" w:sz="4" w:space="0" w:color="auto"/>
          </w:tcBorders>
        </w:tcPr>
        <w:p w14:paraId="0D90BCAA" w14:textId="77777777" w:rsidR="001B164D" w:rsidRPr="007F28DE" w:rsidRDefault="001B164D" w:rsidP="00B05CB9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  <w:tr w:rsidR="001B164D" w:rsidRPr="007F28DE" w14:paraId="4C526DF4" w14:textId="77777777" w:rsidTr="00542C07">
      <w:tc>
        <w:tcPr>
          <w:tcW w:w="1276" w:type="dxa"/>
          <w:tcBorders>
            <w:top w:val="single" w:sz="4" w:space="0" w:color="auto"/>
          </w:tcBorders>
        </w:tcPr>
        <w:p w14:paraId="68351281" w14:textId="77777777" w:rsidR="001B164D" w:rsidRPr="007F28DE" w:rsidRDefault="001B164D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4877" w:type="dxa"/>
          <w:gridSpan w:val="2"/>
          <w:tcBorders>
            <w:top w:val="single" w:sz="4" w:space="0" w:color="auto"/>
          </w:tcBorders>
        </w:tcPr>
        <w:p w14:paraId="5713D865" w14:textId="77777777" w:rsidR="001B164D" w:rsidRPr="007F28DE" w:rsidRDefault="001B164D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2919" w:type="dxa"/>
          <w:tcBorders>
            <w:top w:val="single" w:sz="4" w:space="0" w:color="auto"/>
          </w:tcBorders>
        </w:tcPr>
        <w:p w14:paraId="2F618C5C" w14:textId="77777777" w:rsidR="001B164D" w:rsidRPr="007F28DE" w:rsidRDefault="001B164D">
          <w:pPr>
            <w:pStyle w:val="Zhlav"/>
            <w:rPr>
              <w:color w:val="808080" w:themeColor="background1" w:themeShade="80"/>
            </w:rPr>
          </w:pPr>
        </w:p>
      </w:tc>
    </w:tr>
  </w:tbl>
  <w:p w14:paraId="1150FCE4" w14:textId="77777777" w:rsidR="001B164D" w:rsidRPr="00B05CB9" w:rsidRDefault="001B164D" w:rsidP="00B05CB9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7D9B"/>
    <w:multiLevelType w:val="hybridMultilevel"/>
    <w:tmpl w:val="665663D0"/>
    <w:lvl w:ilvl="0" w:tplc="A51CA7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CB3628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1B52D5"/>
    <w:multiLevelType w:val="hybridMultilevel"/>
    <w:tmpl w:val="12EE9686"/>
    <w:lvl w:ilvl="0" w:tplc="29F8599C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97FB8"/>
    <w:multiLevelType w:val="hybridMultilevel"/>
    <w:tmpl w:val="CB18D212"/>
    <w:lvl w:ilvl="0" w:tplc="F20E86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394190"/>
    <w:multiLevelType w:val="hybridMultilevel"/>
    <w:tmpl w:val="005656F4"/>
    <w:lvl w:ilvl="0" w:tplc="29F8599C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3BB61B0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3344A"/>
    <w:multiLevelType w:val="hybridMultilevel"/>
    <w:tmpl w:val="5B6E1732"/>
    <w:lvl w:ilvl="0" w:tplc="29F8599C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329BE"/>
    <w:multiLevelType w:val="multilevel"/>
    <w:tmpl w:val="39B68DF2"/>
    <w:lvl w:ilvl="0">
      <w:start w:val="1"/>
      <w:numFmt w:val="bullet"/>
      <w:lvlText w:val="&gt;"/>
      <w:lvlJc w:val="left"/>
      <w:pPr>
        <w:ind w:left="720" w:firstLine="360"/>
      </w:pPr>
      <w:rPr>
        <w:rFonts w:ascii="Courier New" w:hAnsi="Courier New" w:hint="default"/>
        <w:b w:val="0"/>
        <w:color w:val="000000"/>
        <w:u w:val="none"/>
      </w:rPr>
    </w:lvl>
    <w:lvl w:ilvl="1">
      <w:start w:val="1"/>
      <w:numFmt w:val="bullet"/>
      <w:lvlText w:val="−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⬜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2D7238C6"/>
    <w:multiLevelType w:val="multilevel"/>
    <w:tmpl w:val="67C68E1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E201B9F"/>
    <w:multiLevelType w:val="hybridMultilevel"/>
    <w:tmpl w:val="0AF8158C"/>
    <w:lvl w:ilvl="0" w:tplc="C944BD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0362E1"/>
    <w:multiLevelType w:val="hybridMultilevel"/>
    <w:tmpl w:val="4A60AE84"/>
    <w:lvl w:ilvl="0" w:tplc="EC4CD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32997"/>
    <w:multiLevelType w:val="multilevel"/>
    <w:tmpl w:val="6D02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D47A09"/>
    <w:multiLevelType w:val="multilevel"/>
    <w:tmpl w:val="D6F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697FC9"/>
    <w:multiLevelType w:val="hybridMultilevel"/>
    <w:tmpl w:val="77988164"/>
    <w:lvl w:ilvl="0" w:tplc="2C48557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D40B0"/>
    <w:multiLevelType w:val="hybridMultilevel"/>
    <w:tmpl w:val="D4F2F578"/>
    <w:lvl w:ilvl="0" w:tplc="29F8599C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D2088"/>
    <w:multiLevelType w:val="hybridMultilevel"/>
    <w:tmpl w:val="8A64A7C0"/>
    <w:lvl w:ilvl="0" w:tplc="813A1E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D0A2A7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7"/>
  </w:num>
  <w:num w:numId="5">
    <w:abstractNumId w:val="7"/>
  </w:num>
  <w:num w:numId="6">
    <w:abstractNumId w:val="5"/>
  </w:num>
  <w:num w:numId="7">
    <w:abstractNumId w:val="15"/>
  </w:num>
  <w:num w:numId="8">
    <w:abstractNumId w:val="6"/>
  </w:num>
  <w:num w:numId="9">
    <w:abstractNumId w:val="3"/>
  </w:num>
  <w:num w:numId="1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14"/>
  </w:num>
  <w:num w:numId="13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8"/>
  </w:num>
  <w:num w:numId="16">
    <w:abstractNumId w:val="0"/>
  </w:num>
  <w:num w:numId="17">
    <w:abstractNumId w:val="4"/>
  </w:num>
  <w:num w:numId="18">
    <w:abstractNumId w:val="9"/>
  </w:num>
  <w:num w:numId="19">
    <w:abstractNumId w:val="10"/>
  </w:num>
  <w:num w:numId="2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071E8"/>
    <w:rsid w:val="000072EC"/>
    <w:rsid w:val="00031371"/>
    <w:rsid w:val="00072615"/>
    <w:rsid w:val="00072AB8"/>
    <w:rsid w:val="00072DBF"/>
    <w:rsid w:val="00076E9A"/>
    <w:rsid w:val="000A072A"/>
    <w:rsid w:val="000C6BFD"/>
    <w:rsid w:val="000C7D74"/>
    <w:rsid w:val="000D0197"/>
    <w:rsid w:val="000D1EE3"/>
    <w:rsid w:val="000E159E"/>
    <w:rsid w:val="000F643F"/>
    <w:rsid w:val="0010626A"/>
    <w:rsid w:val="00141E8E"/>
    <w:rsid w:val="00154219"/>
    <w:rsid w:val="0016099F"/>
    <w:rsid w:val="001A411B"/>
    <w:rsid w:val="001B164D"/>
    <w:rsid w:val="001B5F57"/>
    <w:rsid w:val="001B61B8"/>
    <w:rsid w:val="001B6938"/>
    <w:rsid w:val="001F2895"/>
    <w:rsid w:val="002032CB"/>
    <w:rsid w:val="00203E52"/>
    <w:rsid w:val="00217402"/>
    <w:rsid w:val="00217D0B"/>
    <w:rsid w:val="002222E0"/>
    <w:rsid w:val="0022246F"/>
    <w:rsid w:val="0023491C"/>
    <w:rsid w:val="002379E0"/>
    <w:rsid w:val="00245D4C"/>
    <w:rsid w:val="00267111"/>
    <w:rsid w:val="002709CD"/>
    <w:rsid w:val="00282B1A"/>
    <w:rsid w:val="0029541A"/>
    <w:rsid w:val="002970FC"/>
    <w:rsid w:val="002A56A9"/>
    <w:rsid w:val="002E5166"/>
    <w:rsid w:val="0031357B"/>
    <w:rsid w:val="00350508"/>
    <w:rsid w:val="0036197D"/>
    <w:rsid w:val="003624FC"/>
    <w:rsid w:val="00385285"/>
    <w:rsid w:val="003B38DC"/>
    <w:rsid w:val="003B7035"/>
    <w:rsid w:val="003C0A89"/>
    <w:rsid w:val="003C2031"/>
    <w:rsid w:val="003C281C"/>
    <w:rsid w:val="003D092F"/>
    <w:rsid w:val="003D7AAE"/>
    <w:rsid w:val="003E5985"/>
    <w:rsid w:val="003E7FE5"/>
    <w:rsid w:val="004134C4"/>
    <w:rsid w:val="00424845"/>
    <w:rsid w:val="004300D9"/>
    <w:rsid w:val="004532F3"/>
    <w:rsid w:val="00464764"/>
    <w:rsid w:val="00465FDB"/>
    <w:rsid w:val="00467681"/>
    <w:rsid w:val="004950CC"/>
    <w:rsid w:val="00496FC6"/>
    <w:rsid w:val="004A6798"/>
    <w:rsid w:val="004B0457"/>
    <w:rsid w:val="004B0DE1"/>
    <w:rsid w:val="004C2F61"/>
    <w:rsid w:val="005149E7"/>
    <w:rsid w:val="00514C30"/>
    <w:rsid w:val="00542C07"/>
    <w:rsid w:val="00560752"/>
    <w:rsid w:val="00572C32"/>
    <w:rsid w:val="00580BDA"/>
    <w:rsid w:val="00596898"/>
    <w:rsid w:val="005C213A"/>
    <w:rsid w:val="005D172B"/>
    <w:rsid w:val="005D1C82"/>
    <w:rsid w:val="005D5549"/>
    <w:rsid w:val="00607C4F"/>
    <w:rsid w:val="006154CD"/>
    <w:rsid w:val="00644BFE"/>
    <w:rsid w:val="00650B5A"/>
    <w:rsid w:val="00652214"/>
    <w:rsid w:val="00663FCF"/>
    <w:rsid w:val="006A1EDE"/>
    <w:rsid w:val="006B014B"/>
    <w:rsid w:val="006B692C"/>
    <w:rsid w:val="006D4191"/>
    <w:rsid w:val="006E0904"/>
    <w:rsid w:val="006E6735"/>
    <w:rsid w:val="00713B93"/>
    <w:rsid w:val="00736A3D"/>
    <w:rsid w:val="0074374D"/>
    <w:rsid w:val="0074620C"/>
    <w:rsid w:val="007524DB"/>
    <w:rsid w:val="007536E5"/>
    <w:rsid w:val="0076282A"/>
    <w:rsid w:val="007674D7"/>
    <w:rsid w:val="00775BE7"/>
    <w:rsid w:val="00781DB2"/>
    <w:rsid w:val="00793A8B"/>
    <w:rsid w:val="00795308"/>
    <w:rsid w:val="007A2BCD"/>
    <w:rsid w:val="007B54B6"/>
    <w:rsid w:val="007C46DD"/>
    <w:rsid w:val="007D0515"/>
    <w:rsid w:val="007E7511"/>
    <w:rsid w:val="007F28DE"/>
    <w:rsid w:val="007F365E"/>
    <w:rsid w:val="008328F2"/>
    <w:rsid w:val="00853F33"/>
    <w:rsid w:val="00874DD6"/>
    <w:rsid w:val="008861C7"/>
    <w:rsid w:val="00894BB2"/>
    <w:rsid w:val="008B239F"/>
    <w:rsid w:val="008D4413"/>
    <w:rsid w:val="008F069B"/>
    <w:rsid w:val="0091691F"/>
    <w:rsid w:val="00921ADF"/>
    <w:rsid w:val="0093332D"/>
    <w:rsid w:val="00965882"/>
    <w:rsid w:val="0098761E"/>
    <w:rsid w:val="00990201"/>
    <w:rsid w:val="009A49EE"/>
    <w:rsid w:val="009D3F58"/>
    <w:rsid w:val="009F42C0"/>
    <w:rsid w:val="00A043D7"/>
    <w:rsid w:val="00A238D5"/>
    <w:rsid w:val="00A31919"/>
    <w:rsid w:val="00A420D0"/>
    <w:rsid w:val="00A4286A"/>
    <w:rsid w:val="00A51E4E"/>
    <w:rsid w:val="00A5677F"/>
    <w:rsid w:val="00A806F8"/>
    <w:rsid w:val="00A846D9"/>
    <w:rsid w:val="00AA0A26"/>
    <w:rsid w:val="00AA7014"/>
    <w:rsid w:val="00AB6458"/>
    <w:rsid w:val="00AC0859"/>
    <w:rsid w:val="00AD126B"/>
    <w:rsid w:val="00AE74A2"/>
    <w:rsid w:val="00AE76DD"/>
    <w:rsid w:val="00AF4034"/>
    <w:rsid w:val="00B05CB9"/>
    <w:rsid w:val="00B15D03"/>
    <w:rsid w:val="00B230C0"/>
    <w:rsid w:val="00B30E98"/>
    <w:rsid w:val="00B5156F"/>
    <w:rsid w:val="00B742F2"/>
    <w:rsid w:val="00B746D1"/>
    <w:rsid w:val="00BA0F41"/>
    <w:rsid w:val="00BB127D"/>
    <w:rsid w:val="00BB30CB"/>
    <w:rsid w:val="00BC2B56"/>
    <w:rsid w:val="00BC4A4F"/>
    <w:rsid w:val="00C12103"/>
    <w:rsid w:val="00C13B07"/>
    <w:rsid w:val="00C200F3"/>
    <w:rsid w:val="00C36308"/>
    <w:rsid w:val="00C7100A"/>
    <w:rsid w:val="00C77D90"/>
    <w:rsid w:val="00C817AA"/>
    <w:rsid w:val="00C93905"/>
    <w:rsid w:val="00CB721E"/>
    <w:rsid w:val="00CC1D55"/>
    <w:rsid w:val="00CC69F1"/>
    <w:rsid w:val="00CE7A5D"/>
    <w:rsid w:val="00D06BA1"/>
    <w:rsid w:val="00D10232"/>
    <w:rsid w:val="00D160BE"/>
    <w:rsid w:val="00D16CB8"/>
    <w:rsid w:val="00D40E54"/>
    <w:rsid w:val="00D42F49"/>
    <w:rsid w:val="00D44A28"/>
    <w:rsid w:val="00D57F7D"/>
    <w:rsid w:val="00D809C0"/>
    <w:rsid w:val="00D82316"/>
    <w:rsid w:val="00D87A83"/>
    <w:rsid w:val="00D9277E"/>
    <w:rsid w:val="00D95907"/>
    <w:rsid w:val="00DA56CE"/>
    <w:rsid w:val="00DF17F3"/>
    <w:rsid w:val="00DF3FB4"/>
    <w:rsid w:val="00DF5DAF"/>
    <w:rsid w:val="00E01F51"/>
    <w:rsid w:val="00E20E5D"/>
    <w:rsid w:val="00E47AEC"/>
    <w:rsid w:val="00EA3E9E"/>
    <w:rsid w:val="00EE45EE"/>
    <w:rsid w:val="00EF086F"/>
    <w:rsid w:val="00EF4CD3"/>
    <w:rsid w:val="00F07326"/>
    <w:rsid w:val="00F239CB"/>
    <w:rsid w:val="00F309EE"/>
    <w:rsid w:val="00F322A5"/>
    <w:rsid w:val="00F33FB3"/>
    <w:rsid w:val="00F44CDD"/>
    <w:rsid w:val="00F823F6"/>
    <w:rsid w:val="00FC3D50"/>
    <w:rsid w:val="00FC4E25"/>
    <w:rsid w:val="00FC7757"/>
    <w:rsid w:val="00FE1939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1C82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D57F7D"/>
    <w:pPr>
      <w:keepNext/>
      <w:keepLines/>
      <w:numPr>
        <w:ilvl w:val="3"/>
        <w:numId w:val="1"/>
      </w:numPr>
      <w:shd w:val="clear" w:color="auto" w:fill="F2F2F2" w:themeFill="background1" w:themeFillShade="F2"/>
      <w:spacing w:before="40"/>
      <w:outlineLvl w:val="3"/>
    </w:pPr>
    <w:rPr>
      <w:rFonts w:asciiTheme="majorHAnsi" w:eastAsiaTheme="majorEastAsia" w:hAnsiTheme="majorHAnsi" w:cstheme="majorBidi"/>
      <w:b/>
      <w:iCs/>
      <w:color w:val="808080" w:themeColor="background1" w:themeShade="80"/>
    </w:rPr>
  </w:style>
  <w:style w:type="paragraph" w:styleId="Nadpis5">
    <w:name w:val="heading 5"/>
    <w:basedOn w:val="Normln"/>
    <w:next w:val="Normln"/>
    <w:link w:val="Nadpis5Char"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rsid w:val="00D57F7D"/>
    <w:rPr>
      <w:rFonts w:asciiTheme="majorHAnsi" w:eastAsiaTheme="majorEastAsia" w:hAnsiTheme="majorHAnsi" w:cstheme="majorBidi"/>
      <w:b/>
      <w:iCs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Nadpis5Char">
    <w:name w:val="Nadpis 5 Char"/>
    <w:basedOn w:val="Standardnpsmoodstavce"/>
    <w:link w:val="Nadpis5"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8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82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861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861C7"/>
    <w:pPr>
      <w:spacing w:after="57"/>
      <w:jc w:val="both"/>
    </w:pPr>
    <w:rPr>
      <w:sz w:val="22"/>
    </w:rPr>
  </w:style>
  <w:style w:type="paragraph" w:customStyle="1" w:styleId="Head2lev3">
    <w:name w:val="Head2_lev3"/>
    <w:basedOn w:val="Nadpis2"/>
    <w:next w:val="Normln"/>
    <w:qFormat/>
    <w:rsid w:val="00EF086F"/>
    <w:pPr>
      <w:keepLines w:val="0"/>
      <w:shd w:val="clear" w:color="auto" w:fill="auto"/>
      <w:tabs>
        <w:tab w:val="num" w:pos="680"/>
      </w:tabs>
      <w:spacing w:before="120" w:after="120"/>
      <w:ind w:left="680" w:hanging="680"/>
    </w:pPr>
    <w:rPr>
      <w:rFonts w:ascii="Arial" w:eastAsia="Times New Roman" w:hAnsi="Arial" w:cs="Arial"/>
      <w:iCs/>
      <w:smallCaps w:val="0"/>
      <w:kern w:val="32"/>
      <w:sz w:val="24"/>
      <w:szCs w:val="28"/>
      <w:lang w:eastAsia="cs-CZ"/>
    </w:rPr>
  </w:style>
  <w:style w:type="paragraph" w:customStyle="1" w:styleId="Head3lev4">
    <w:name w:val="Head3_lev4"/>
    <w:basedOn w:val="Nadpis3"/>
    <w:next w:val="Normln"/>
    <w:qFormat/>
    <w:rsid w:val="00EF086F"/>
    <w:pPr>
      <w:keepLines w:val="0"/>
      <w:shd w:val="clear" w:color="auto" w:fill="auto"/>
      <w:tabs>
        <w:tab w:val="num" w:pos="720"/>
      </w:tabs>
      <w:spacing w:before="120" w:after="120"/>
    </w:pPr>
    <w:rPr>
      <w:rFonts w:ascii="Arial" w:eastAsia="Times New Roman" w:hAnsi="Arial" w:cs="Arial"/>
      <w:bCs/>
      <w:iCs/>
      <w:kern w:val="32"/>
      <w:sz w:val="22"/>
      <w:szCs w:val="26"/>
      <w:lang w:eastAsia="cs-CZ"/>
    </w:rPr>
  </w:style>
  <w:style w:type="paragraph" w:customStyle="1" w:styleId="Footnote">
    <w:name w:val="Footnote"/>
    <w:basedOn w:val="Standard"/>
    <w:rsid w:val="00EF086F"/>
    <w:pPr>
      <w:suppressLineNumbers/>
      <w:ind w:left="283" w:hanging="283"/>
    </w:pPr>
    <w:rPr>
      <w:sz w:val="20"/>
      <w:szCs w:val="20"/>
    </w:rPr>
  </w:style>
  <w:style w:type="paragraph" w:customStyle="1" w:styleId="Normalwithout">
    <w:name w:val="Normal_without"/>
    <w:basedOn w:val="Standard"/>
    <w:rsid w:val="00EF086F"/>
    <w:pPr>
      <w:spacing w:line="360" w:lineRule="auto"/>
      <w:jc w:val="both"/>
    </w:pPr>
    <w:rPr>
      <w:rFonts w:eastAsia="Times New Roman" w:cs="Times New Roman"/>
      <w:lang w:eastAsia="cs-CZ"/>
    </w:rPr>
  </w:style>
  <w:style w:type="character" w:customStyle="1" w:styleId="Internetlink">
    <w:name w:val="Internet link"/>
    <w:rsid w:val="00EF086F"/>
    <w:rPr>
      <w:color w:val="0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1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06-262" TargetMode="External"/><Relationship Id="rId13" Type="http://schemas.openxmlformats.org/officeDocument/2006/relationships/hyperlink" Target="https://www.zakonyprolidi.cz/cs/20007-361" TargetMode="External"/><Relationship Id="rId18" Type="http://schemas.openxmlformats.org/officeDocument/2006/relationships/hyperlink" Target="https://www.zakonyprolidi.cz/cs/2005-294" TargetMode="External"/><Relationship Id="rId3" Type="http://schemas.openxmlformats.org/officeDocument/2006/relationships/styles" Target="styles.xml"/><Relationship Id="rId21" Type="http://schemas.openxmlformats.org/officeDocument/2006/relationships/hyperlink" Target="mailto:vit.hofman@sawuh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akonyprolidi.cz/cs/2000-258" TargetMode="External"/><Relationship Id="rId17" Type="http://schemas.openxmlformats.org/officeDocument/2006/relationships/hyperlink" Target="https://www.zakonyprolidi.cz/cs/2001-18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zakonyprolidi.cz/cs/2006-186" TargetMode="External"/><Relationship Id="rId20" Type="http://schemas.openxmlformats.org/officeDocument/2006/relationships/hyperlink" Target="https://www.bozpkestazeni.cz/e-shop/zasady-likvidace-azbestu-a-materialu-obsahujicich-azbes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yprolidi.cz/cs/2006-30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zakonyprolidi.cz/cs/2006-394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ur-lex.europa.eu/legal-content/CS/TXT/PDF/?uri=CELEX:32009L0148&amp;from=EN" TargetMode="External"/><Relationship Id="rId19" Type="http://schemas.openxmlformats.org/officeDocument/2006/relationships/hyperlink" Target="https://www.zakonyprolidi.cz/cs/1995-2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yprolidi.cz/cs/2007-361" TargetMode="External"/><Relationship Id="rId14" Type="http://schemas.openxmlformats.org/officeDocument/2006/relationships/hyperlink" Target="https://www.zakonyprolidi.cz/cs/2003-432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8A387-F58D-4572-BD90-06CBF6F1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1378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Vít Hofman</cp:lastModifiedBy>
  <cp:revision>3</cp:revision>
  <cp:lastPrinted>2016-08-09T09:45:00Z</cp:lastPrinted>
  <dcterms:created xsi:type="dcterms:W3CDTF">2020-05-04T16:00:00Z</dcterms:created>
  <dcterms:modified xsi:type="dcterms:W3CDTF">2020-05-04T16:17:00Z</dcterms:modified>
</cp:coreProperties>
</file>